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856060" w14:textId="77777777" w:rsidR="00AE3E37" w:rsidRDefault="00A70F64" w:rsidP="00494130">
      <w:pPr>
        <w:pStyle w:val="Heading1"/>
        <w:spacing w:before="170"/>
        <w:ind w:left="0"/>
      </w:pPr>
      <w:r>
        <w:rPr>
          <w:color w:val="337AB7"/>
        </w:rPr>
        <w:t>Two-Stage f</w:t>
      </w:r>
      <w:r w:rsidR="006D505A">
        <w:rPr>
          <w:color w:val="337AB7"/>
        </w:rPr>
        <w:t xml:space="preserve">lexor tendon repair versus Primary </w:t>
      </w:r>
      <w:r w:rsidR="00857A02">
        <w:rPr>
          <w:color w:val="337AB7"/>
        </w:rPr>
        <w:t>repair: An evaluation of subjective and functional outcomes</w:t>
      </w:r>
      <w:r w:rsidR="006D505A">
        <w:rPr>
          <w:color w:val="337AB7"/>
        </w:rPr>
        <w:t xml:space="preserve"> at a Regional Centre for Plastic Surgery</w:t>
      </w:r>
    </w:p>
    <w:p w14:paraId="1ECF1C7E" w14:textId="77777777" w:rsidR="00857A02" w:rsidRDefault="00857A02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0A84CA8B" w14:textId="77777777" w:rsidR="00AE3E37" w:rsidRPr="00D4077D" w:rsidRDefault="006D505A" w:rsidP="00D4077D">
      <w:pPr>
        <w:pStyle w:val="BodyText"/>
        <w:spacing w:before="73" w:line="198" w:lineRule="exact"/>
        <w:ind w:left="100" w:right="5987"/>
        <w:rPr>
          <w:rFonts w:ascii="Arial"/>
        </w:rPr>
        <w:sectPr w:rsidR="00AE3E37" w:rsidRPr="00D4077D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Robert Mitchell, </w:t>
      </w:r>
      <w:proofErr w:type="spellStart"/>
      <w:r>
        <w:rPr>
          <w:rFonts w:ascii="Arial"/>
        </w:rPr>
        <w:t>MBChB</w:t>
      </w:r>
      <w:proofErr w:type="spellEnd"/>
      <w:r w:rsidR="00857A02">
        <w:rPr>
          <w:rFonts w:ascii="Arial"/>
        </w:rPr>
        <w:t xml:space="preserve">, St Peters Hospital, Chertsey, </w:t>
      </w:r>
      <w:r w:rsidR="00AA5153">
        <w:rPr>
          <w:rFonts w:ascii="Arial"/>
        </w:rPr>
        <w:t>England</w:t>
      </w:r>
    </w:p>
    <w:p w14:paraId="235AF5E3" w14:textId="77777777" w:rsidR="00857A02" w:rsidRDefault="00857A02" w:rsidP="009607A0">
      <w:pPr>
        <w:pStyle w:val="Heading3"/>
        <w:spacing w:before="147"/>
        <w:ind w:left="0"/>
        <w:jc w:val="both"/>
        <w:rPr>
          <w:color w:val="BF5A14"/>
        </w:rPr>
      </w:pPr>
    </w:p>
    <w:p w14:paraId="7397D290" w14:textId="77777777" w:rsidR="009607A0" w:rsidRDefault="009607A0" w:rsidP="009607A0">
      <w:pPr>
        <w:pStyle w:val="Heading3"/>
        <w:spacing w:before="147"/>
        <w:ind w:left="0"/>
        <w:jc w:val="both"/>
      </w:pPr>
      <w:r>
        <w:rPr>
          <w:color w:val="BF5A14"/>
        </w:rPr>
        <w:t>Abstract (300 word limit)</w:t>
      </w:r>
    </w:p>
    <w:p w14:paraId="2275DAFF" w14:textId="77777777" w:rsidR="0062461A" w:rsidRPr="00A70F64" w:rsidRDefault="0062461A" w:rsidP="009607A0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Introduction &amp; Aim: </w:t>
      </w:r>
      <w:r w:rsidR="009607A0" w:rsidRPr="0075539E">
        <w:rPr>
          <w:sz w:val="18"/>
          <w:szCs w:val="18"/>
        </w:rPr>
        <w:t>The hand, as the executing organ of the human body, is at the centre of nearly all daily activiti</w:t>
      </w:r>
      <w:r w:rsidR="009607A0">
        <w:rPr>
          <w:sz w:val="18"/>
          <w:szCs w:val="18"/>
        </w:rPr>
        <w:t xml:space="preserve">es. </w:t>
      </w:r>
      <w:r>
        <w:rPr>
          <w:sz w:val="18"/>
          <w:szCs w:val="18"/>
        </w:rPr>
        <w:t>In</w:t>
      </w:r>
      <w:r w:rsidR="009607A0">
        <w:rPr>
          <w:sz w:val="18"/>
          <w:szCs w:val="18"/>
        </w:rPr>
        <w:t xml:space="preserve"> the anatomical extremity, </w:t>
      </w:r>
      <w:r w:rsidR="00A70F64">
        <w:rPr>
          <w:sz w:val="18"/>
          <w:szCs w:val="18"/>
        </w:rPr>
        <w:t xml:space="preserve">the hand is frequently </w:t>
      </w:r>
      <w:r w:rsidR="009607A0" w:rsidRPr="0075539E">
        <w:rPr>
          <w:sz w:val="18"/>
          <w:szCs w:val="18"/>
        </w:rPr>
        <w:t xml:space="preserve">exposed to the potential risk of injury. </w:t>
      </w:r>
      <w:r w:rsidR="009607A0">
        <w:rPr>
          <w:sz w:val="18"/>
          <w:szCs w:val="18"/>
        </w:rPr>
        <w:t xml:space="preserve">If </w:t>
      </w:r>
      <w:r w:rsidR="00A70F64">
        <w:rPr>
          <w:sz w:val="18"/>
          <w:szCs w:val="18"/>
        </w:rPr>
        <w:t xml:space="preserve">a flexor tendon </w:t>
      </w:r>
      <w:r w:rsidR="009607A0" w:rsidRPr="0075539E">
        <w:rPr>
          <w:sz w:val="18"/>
          <w:szCs w:val="18"/>
        </w:rPr>
        <w:t>is</w:t>
      </w:r>
      <w:r w:rsidR="009607A0">
        <w:rPr>
          <w:sz w:val="18"/>
          <w:szCs w:val="18"/>
        </w:rPr>
        <w:t xml:space="preserve"> injured and</w:t>
      </w:r>
      <w:r w:rsidR="009607A0" w:rsidRPr="0075539E">
        <w:rPr>
          <w:sz w:val="18"/>
          <w:szCs w:val="18"/>
        </w:rPr>
        <w:t xml:space="preserve"> recognized as needing surgical intervention, two</w:t>
      </w:r>
      <w:r w:rsidR="00A70F64">
        <w:rPr>
          <w:sz w:val="18"/>
          <w:szCs w:val="18"/>
        </w:rPr>
        <w:t xml:space="preserve"> main</w:t>
      </w:r>
      <w:r w:rsidR="009607A0" w:rsidRPr="0075539E">
        <w:rPr>
          <w:sz w:val="18"/>
          <w:szCs w:val="18"/>
        </w:rPr>
        <w:t xml:space="preserve"> options are available; Two-stage Flexor Tendon (TSF</w:t>
      </w:r>
      <w:r w:rsidR="009607A0">
        <w:rPr>
          <w:sz w:val="18"/>
          <w:szCs w:val="18"/>
        </w:rPr>
        <w:t>T) repair or Primary repair. We evaluated the subjective and functional outcomes</w:t>
      </w:r>
      <w:r w:rsidR="009607A0" w:rsidRPr="0075539E">
        <w:rPr>
          <w:sz w:val="18"/>
          <w:szCs w:val="18"/>
        </w:rPr>
        <w:t xml:space="preserve"> of the two su</w:t>
      </w:r>
      <w:r w:rsidR="009607A0">
        <w:rPr>
          <w:sz w:val="18"/>
          <w:szCs w:val="18"/>
        </w:rPr>
        <w:t xml:space="preserve">rgical methods described above in patients </w:t>
      </w:r>
      <w:r w:rsidR="009607A0" w:rsidRPr="0075539E">
        <w:rPr>
          <w:rFonts w:eastAsia="Times New Roman"/>
          <w:color w:val="000000"/>
          <w:sz w:val="18"/>
          <w:szCs w:val="18"/>
        </w:rPr>
        <w:t>presenting to St Helens and Knowsley Teaching Hospitals NHS Trust, England, with flexor tendon in</w:t>
      </w:r>
      <w:r w:rsidR="009607A0">
        <w:rPr>
          <w:rFonts w:eastAsia="Times New Roman"/>
          <w:color w:val="000000"/>
          <w:sz w:val="18"/>
          <w:szCs w:val="18"/>
        </w:rPr>
        <w:t xml:space="preserve">jury in Zone I or II over a </w:t>
      </w:r>
      <w:r>
        <w:rPr>
          <w:rFonts w:eastAsia="Times New Roman"/>
          <w:color w:val="000000"/>
          <w:sz w:val="18"/>
          <w:szCs w:val="18"/>
        </w:rPr>
        <w:t>5</w:t>
      </w:r>
      <w:r w:rsidRPr="0075539E">
        <w:rPr>
          <w:rFonts w:eastAsia="Times New Roman"/>
          <w:color w:val="000000"/>
          <w:sz w:val="18"/>
          <w:szCs w:val="18"/>
        </w:rPr>
        <w:t>-year</w:t>
      </w:r>
      <w:r w:rsidR="009607A0" w:rsidRPr="0075539E">
        <w:rPr>
          <w:rFonts w:eastAsia="Times New Roman"/>
          <w:color w:val="000000"/>
          <w:sz w:val="18"/>
          <w:szCs w:val="18"/>
        </w:rPr>
        <w:t xml:space="preserve"> period.</w:t>
      </w:r>
      <w:r w:rsidR="009607A0">
        <w:rPr>
          <w:rFonts w:eastAsia="Times New Roman"/>
          <w:color w:val="000000"/>
          <w:sz w:val="18"/>
          <w:szCs w:val="18"/>
        </w:rPr>
        <w:t xml:space="preserve"> </w:t>
      </w:r>
    </w:p>
    <w:p w14:paraId="1E5F25B5" w14:textId="77777777" w:rsidR="0062461A" w:rsidRDefault="009607A0" w:rsidP="009607A0">
      <w:pPr>
        <w:spacing w:line="360" w:lineRule="auto"/>
        <w:rPr>
          <w:rFonts w:eastAsia="Times New Roman" w:cs="Times New Roman"/>
          <w:color w:val="000000"/>
          <w:sz w:val="18"/>
          <w:szCs w:val="18"/>
          <w:lang w:val="en-GB"/>
        </w:rPr>
      </w:pPr>
      <w:r>
        <w:rPr>
          <w:rFonts w:eastAsia="Times New Roman"/>
          <w:color w:val="000000"/>
          <w:sz w:val="18"/>
          <w:szCs w:val="18"/>
        </w:rPr>
        <w:t xml:space="preserve">Methodology: A retrospective study employing </w:t>
      </w:r>
      <w:r>
        <w:rPr>
          <w:rFonts w:eastAsia="Times New Roman" w:cs="Times New Roman"/>
          <w:color w:val="000000"/>
          <w:sz w:val="18"/>
          <w:szCs w:val="18"/>
          <w:lang w:val="en-GB"/>
        </w:rPr>
        <w:t xml:space="preserve">35 patients (and a total of 42 tendon injuries) </w:t>
      </w:r>
      <w:r w:rsidRPr="0075539E">
        <w:rPr>
          <w:rFonts w:eastAsia="Times New Roman" w:cs="Times New Roman"/>
          <w:color w:val="000000"/>
          <w:sz w:val="18"/>
          <w:szCs w:val="18"/>
          <w:lang w:val="en-GB"/>
        </w:rPr>
        <w:t>requiring</w:t>
      </w:r>
      <w:r>
        <w:rPr>
          <w:rFonts w:eastAsia="Times New Roman" w:cs="Times New Roman"/>
          <w:color w:val="000000"/>
          <w:sz w:val="18"/>
          <w:szCs w:val="18"/>
          <w:lang w:val="en-GB"/>
        </w:rPr>
        <w:t xml:space="preserve"> Two-stage Flexor Tendon </w:t>
      </w:r>
      <w:r w:rsidRPr="0075539E">
        <w:rPr>
          <w:rFonts w:eastAsia="Times New Roman" w:cs="Times New Roman"/>
          <w:color w:val="000000"/>
          <w:sz w:val="18"/>
          <w:szCs w:val="18"/>
          <w:lang w:val="en-GB"/>
        </w:rPr>
        <w:t xml:space="preserve">repair over a </w:t>
      </w:r>
      <w:r w:rsidR="0062461A" w:rsidRPr="0075539E">
        <w:rPr>
          <w:rFonts w:eastAsia="Times New Roman" w:cs="Times New Roman"/>
          <w:color w:val="000000"/>
          <w:sz w:val="18"/>
          <w:szCs w:val="18"/>
          <w:lang w:val="en-GB"/>
        </w:rPr>
        <w:t>5-year</w:t>
      </w:r>
      <w:r w:rsidR="00A70F64">
        <w:rPr>
          <w:rFonts w:eastAsia="Times New Roman" w:cs="Times New Roman"/>
          <w:color w:val="000000"/>
          <w:sz w:val="18"/>
          <w:szCs w:val="18"/>
          <w:lang w:val="en-GB"/>
        </w:rPr>
        <w:t xml:space="preserve"> period and 190 patients requiring </w:t>
      </w:r>
      <w:r w:rsidRPr="0075539E">
        <w:rPr>
          <w:rFonts w:eastAsia="Times New Roman" w:cs="Times New Roman"/>
          <w:color w:val="000000"/>
          <w:sz w:val="18"/>
          <w:szCs w:val="18"/>
          <w:lang w:val="en-GB"/>
        </w:rPr>
        <w:t xml:space="preserve">primary flexor </w:t>
      </w:r>
      <w:r w:rsidR="00A70F64">
        <w:rPr>
          <w:rFonts w:eastAsia="Times New Roman" w:cs="Times New Roman"/>
          <w:color w:val="000000"/>
          <w:sz w:val="18"/>
          <w:szCs w:val="18"/>
          <w:lang w:val="en-GB"/>
        </w:rPr>
        <w:t>tendon repair between 2012-2014.</w:t>
      </w:r>
      <w:r w:rsidRPr="0075539E">
        <w:rPr>
          <w:rFonts w:eastAsia="Times New Roman" w:cs="Times New Roman"/>
          <w:color w:val="000000"/>
          <w:sz w:val="18"/>
          <w:szCs w:val="18"/>
          <w:lang w:val="en-GB"/>
        </w:rPr>
        <w:t xml:space="preserve"> Data collected included patient demographics, injury details, intraoperative findings and post-operative outcomes.</w:t>
      </w:r>
      <w:r>
        <w:rPr>
          <w:rFonts w:eastAsia="Times New Roman" w:cs="Times New Roman"/>
          <w:color w:val="000000"/>
          <w:sz w:val="18"/>
          <w:szCs w:val="18"/>
          <w:lang w:val="en-GB"/>
        </w:rPr>
        <w:t xml:space="preserve"> </w:t>
      </w:r>
    </w:p>
    <w:p w14:paraId="433645A7" w14:textId="77777777" w:rsidR="0062461A" w:rsidRDefault="009607A0" w:rsidP="009607A0">
      <w:pPr>
        <w:spacing w:line="360" w:lineRule="auto"/>
        <w:rPr>
          <w:rFonts w:eastAsia="Times New Roman" w:cs="Times New Roman"/>
          <w:color w:val="000000"/>
          <w:sz w:val="18"/>
          <w:szCs w:val="18"/>
          <w:lang w:val="en-GB"/>
        </w:rPr>
      </w:pPr>
      <w:r w:rsidRPr="005207BF">
        <w:rPr>
          <w:rFonts w:eastAsia="Times New Roman" w:cs="Times New Roman"/>
          <w:color w:val="000000"/>
          <w:sz w:val="18"/>
          <w:szCs w:val="18"/>
          <w:lang w:val="en-GB"/>
        </w:rPr>
        <w:t>Results: Of the 35 digital injuries assessed, 15.8% had a good outcome, 21.1% with a fair outcome and 63.2% with a poor outcome, based upon the Strickland grading system. In comparison, of those undergoing primary flexor tendon repair, 51.5% had a good / Excellent outcome, leaving 48.5% with a poor outcome. Ruptures rates post-surgery were higher in those undergoing TSFT repair than primary repair</w:t>
      </w:r>
      <w:proofErr w:type="gramStart"/>
      <w:r w:rsidRPr="005207BF">
        <w:rPr>
          <w:rFonts w:eastAsia="Times New Roman" w:cs="Times New Roman"/>
          <w:color w:val="000000"/>
          <w:sz w:val="18"/>
          <w:szCs w:val="18"/>
          <w:lang w:val="en-GB"/>
        </w:rPr>
        <w:t>;</w:t>
      </w:r>
      <w:proofErr w:type="gramEnd"/>
      <w:r w:rsidRPr="005207BF">
        <w:rPr>
          <w:rFonts w:eastAsia="Times New Roman" w:cs="Times New Roman"/>
          <w:color w:val="000000"/>
          <w:sz w:val="18"/>
          <w:szCs w:val="18"/>
          <w:lang w:val="en-GB"/>
        </w:rPr>
        <w:t xml:space="preserve"> 23.8% versus 12.0% respectively.</w:t>
      </w:r>
      <w:r>
        <w:rPr>
          <w:rFonts w:eastAsia="Times New Roman" w:cs="Times New Roman"/>
          <w:color w:val="000000"/>
          <w:sz w:val="18"/>
          <w:szCs w:val="18"/>
          <w:lang w:val="en-GB"/>
        </w:rPr>
        <w:t xml:space="preserve"> </w:t>
      </w:r>
    </w:p>
    <w:p w14:paraId="141AFAA7" w14:textId="77777777" w:rsidR="009607A0" w:rsidRPr="005207BF" w:rsidRDefault="009607A0" w:rsidP="009607A0">
      <w:pPr>
        <w:spacing w:line="36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5207BF">
        <w:rPr>
          <w:rFonts w:eastAsia="Times New Roman" w:cs="Times New Roman"/>
          <w:color w:val="000000"/>
          <w:sz w:val="18"/>
          <w:szCs w:val="18"/>
          <w:lang w:val="en-GB"/>
        </w:rPr>
        <w:t>Conclusion: A damaged flexor tendon requiring surgery should ideally be repaired within 72 hours of initial insu</w:t>
      </w:r>
      <w:r>
        <w:rPr>
          <w:rFonts w:eastAsia="Times New Roman" w:cs="Times New Roman"/>
          <w:color w:val="000000"/>
          <w:sz w:val="18"/>
          <w:szCs w:val="18"/>
          <w:lang w:val="en-GB"/>
        </w:rPr>
        <w:t>lt via primary repair</w:t>
      </w:r>
      <w:r w:rsidRPr="005207BF">
        <w:rPr>
          <w:rFonts w:eastAsia="Times New Roman" w:cs="Times New Roman"/>
          <w:color w:val="000000"/>
          <w:sz w:val="18"/>
          <w:szCs w:val="18"/>
          <w:lang w:val="en-GB"/>
        </w:rPr>
        <w:t xml:space="preserve">. Delayed presentation and subsequent scar formation with proximal stump retraction warrants a two-stage approach. It is widely accepted that a reconstruction in two-stages can yield effective results in restoring digital </w:t>
      </w:r>
      <w:r w:rsidR="00D4077D">
        <w:rPr>
          <w:rFonts w:eastAsia="Times New Roman" w:cs="Times New Roman"/>
          <w:color w:val="000000"/>
          <w:sz w:val="18"/>
          <w:szCs w:val="18"/>
          <w:lang w:val="en-GB"/>
        </w:rPr>
        <w:t xml:space="preserve">function, but these results are </w:t>
      </w:r>
      <w:r w:rsidRPr="005207BF">
        <w:rPr>
          <w:rFonts w:eastAsia="Times New Roman" w:cs="Times New Roman"/>
          <w:color w:val="000000"/>
          <w:sz w:val="18"/>
          <w:szCs w:val="18"/>
          <w:lang w:val="en-GB"/>
        </w:rPr>
        <w:t>often superseded by a primary repair.</w:t>
      </w:r>
    </w:p>
    <w:p w14:paraId="6A0E8A1E" w14:textId="77777777" w:rsidR="00857A02" w:rsidRDefault="00A9710C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</w:p>
    <w:p w14:paraId="4AD59C9B" w14:textId="77777777" w:rsidR="00857A02" w:rsidRDefault="00857A02">
      <w:pPr>
        <w:pStyle w:val="Heading3"/>
        <w:spacing w:before="74"/>
        <w:rPr>
          <w:b w:val="0"/>
        </w:rPr>
      </w:pPr>
    </w:p>
    <w:p w14:paraId="7FE5BBE0" w14:textId="77777777" w:rsidR="00AE3E37" w:rsidRDefault="00A9710C">
      <w:pPr>
        <w:pStyle w:val="Heading3"/>
        <w:spacing w:before="74"/>
      </w:pPr>
      <w:r>
        <w:rPr>
          <w:color w:val="BF5A14"/>
        </w:rPr>
        <w:t>Image</w:t>
      </w:r>
    </w:p>
    <w:p w14:paraId="2B656ADA" w14:textId="77777777" w:rsidR="00AE3E37" w:rsidRDefault="009607A0">
      <w:pPr>
        <w:pStyle w:val="BodyText"/>
        <w:spacing w:before="2"/>
        <w:rPr>
          <w:rFonts w:ascii="Arial"/>
          <w:b/>
          <w:sz w:val="16"/>
        </w:rPr>
      </w:pPr>
      <w:bookmarkStart w:id="0" w:name="_GoBack"/>
      <w:r>
        <w:rPr>
          <w:rFonts w:ascii="Arial"/>
          <w:b/>
          <w:noProof/>
          <w:sz w:val="16"/>
        </w:rPr>
        <w:drawing>
          <wp:inline distT="0" distB="0" distL="0" distR="0" wp14:anchorId="50E6C263" wp14:editId="3FBC2589">
            <wp:extent cx="3165475" cy="1135531"/>
            <wp:effectExtent l="0" t="0" r="9525" b="762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13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CC0E504" w14:textId="77777777" w:rsidR="009607A0" w:rsidRPr="009607A0" w:rsidRDefault="009607A0" w:rsidP="005973B9">
      <w:pPr>
        <w:spacing w:line="204" w:lineRule="exact"/>
        <w:rPr>
          <w:rFonts w:ascii="Arial"/>
          <w:b/>
          <w:color w:val="BF5A14"/>
          <w:sz w:val="20"/>
        </w:rPr>
      </w:pPr>
      <w:r w:rsidRPr="009607A0">
        <w:rPr>
          <w:b/>
          <w:sz w:val="20"/>
        </w:rPr>
        <w:t>Figure 1</w:t>
      </w:r>
      <w:r w:rsidRPr="009607A0">
        <w:rPr>
          <w:sz w:val="20"/>
        </w:rPr>
        <w:t xml:space="preserve">: </w:t>
      </w:r>
      <w:r w:rsidRPr="009607A0">
        <w:rPr>
          <w:i/>
          <w:sz w:val="18"/>
          <w:szCs w:val="18"/>
        </w:rPr>
        <w:t>Strickland score outcome assessment measure for flexor tendon injuries of the hand</w:t>
      </w:r>
      <w:r w:rsidR="005973B9" w:rsidRPr="009607A0">
        <w:rPr>
          <w:rFonts w:ascii="Arial"/>
          <w:b/>
          <w:color w:val="BF5A14"/>
          <w:sz w:val="20"/>
        </w:rPr>
        <w:br/>
      </w:r>
    </w:p>
    <w:p w14:paraId="3F1EB0A8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14:paraId="176BED95" w14:textId="77777777" w:rsidR="00A70F64" w:rsidRPr="00AA5153" w:rsidRDefault="00A70F64" w:rsidP="00A70F6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8"/>
          <w:szCs w:val="18"/>
        </w:rPr>
      </w:pPr>
      <w:r w:rsidRPr="00AA5153">
        <w:rPr>
          <w:rFonts w:ascii="Tw Cen MT" w:hAnsi="Tw Cen MT"/>
          <w:sz w:val="18"/>
          <w:szCs w:val="18"/>
        </w:rPr>
        <w:t xml:space="preserve">Forli A (2014). </w:t>
      </w:r>
      <w:r w:rsidRPr="00AA5153">
        <w:rPr>
          <w:sz w:val="18"/>
          <w:szCs w:val="18"/>
        </w:rPr>
        <w:t>Ma</w:t>
      </w:r>
      <w:r w:rsidRPr="00AA5153">
        <w:rPr>
          <w:rFonts w:ascii="Tw Cen MT" w:hAnsi="Tw Cen MT"/>
          <w:sz w:val="18"/>
          <w:szCs w:val="18"/>
        </w:rPr>
        <w:t xml:space="preserve">nagement of zone </w:t>
      </w:r>
      <w:proofErr w:type="gramStart"/>
      <w:r w:rsidRPr="00AA5153">
        <w:rPr>
          <w:rFonts w:ascii="Tw Cen MT" w:hAnsi="Tw Cen MT"/>
          <w:sz w:val="18"/>
          <w:szCs w:val="18"/>
        </w:rPr>
        <w:t>1 flexor</w:t>
      </w:r>
      <w:proofErr w:type="gramEnd"/>
      <w:r w:rsidRPr="00AA5153">
        <w:rPr>
          <w:rFonts w:ascii="Tw Cen MT" w:hAnsi="Tw Cen MT"/>
          <w:sz w:val="18"/>
          <w:szCs w:val="18"/>
        </w:rPr>
        <w:t xml:space="preserve"> </w:t>
      </w:r>
      <w:proofErr w:type="spellStart"/>
      <w:r w:rsidRPr="00AA5153">
        <w:rPr>
          <w:rFonts w:ascii="Tw Cen MT" w:hAnsi="Tw Cen MT"/>
          <w:sz w:val="18"/>
          <w:szCs w:val="18"/>
        </w:rPr>
        <w:t>digitorum</w:t>
      </w:r>
      <w:proofErr w:type="spellEnd"/>
      <w:r w:rsidRPr="00AA5153">
        <w:rPr>
          <w:rFonts w:ascii="Tw Cen MT" w:hAnsi="Tw Cen MT"/>
          <w:sz w:val="18"/>
          <w:szCs w:val="18"/>
        </w:rPr>
        <w:t xml:space="preserve"> </w:t>
      </w:r>
      <w:proofErr w:type="spellStart"/>
      <w:r w:rsidRPr="00AA5153">
        <w:rPr>
          <w:rFonts w:ascii="Tw Cen MT" w:hAnsi="Tw Cen MT"/>
          <w:sz w:val="18"/>
          <w:szCs w:val="18"/>
        </w:rPr>
        <w:t>profundus</w:t>
      </w:r>
      <w:proofErr w:type="spellEnd"/>
      <w:r w:rsidRPr="00AA5153">
        <w:rPr>
          <w:rFonts w:ascii="Tw Cen MT" w:hAnsi="Tw Cen MT"/>
          <w:sz w:val="18"/>
          <w:szCs w:val="18"/>
        </w:rPr>
        <w:t xml:space="preserve"> tendon injuries. </w:t>
      </w:r>
      <w:proofErr w:type="spellStart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Chir</w:t>
      </w:r>
      <w:proofErr w:type="spellEnd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Main. 2014 Dec</w:t>
      </w:r>
      <w:proofErr w:type="gramStart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;33</w:t>
      </w:r>
      <w:proofErr w:type="gramEnd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Suppl:S13-27. </w:t>
      </w:r>
      <w:proofErr w:type="spellStart"/>
      <w:proofErr w:type="gramStart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doi</w:t>
      </w:r>
      <w:proofErr w:type="spellEnd"/>
      <w:proofErr w:type="gramEnd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: 10.1016</w:t>
      </w:r>
    </w:p>
    <w:p w14:paraId="22862AB9" w14:textId="77777777" w:rsidR="00AA5153" w:rsidRPr="00AA5153" w:rsidRDefault="00AA5153" w:rsidP="00AA515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8"/>
          <w:szCs w:val="18"/>
        </w:rPr>
      </w:pPr>
      <w:proofErr w:type="spellStart"/>
      <w:r w:rsidRPr="00AA5153">
        <w:rPr>
          <w:rFonts w:ascii="Tw Cen MT" w:hAnsi="Tw Cen MT"/>
          <w:sz w:val="18"/>
          <w:szCs w:val="18"/>
        </w:rPr>
        <w:t>Bellemere</w:t>
      </w:r>
      <w:proofErr w:type="spellEnd"/>
      <w:r w:rsidRPr="00AA5153">
        <w:rPr>
          <w:rFonts w:ascii="Tw Cen MT" w:hAnsi="Tw Cen MT"/>
          <w:sz w:val="18"/>
          <w:szCs w:val="18"/>
        </w:rPr>
        <w:t xml:space="preserve"> P (2014) Primary flexor tendon repair in zone 2. </w:t>
      </w:r>
      <w:proofErr w:type="spellStart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Chir</w:t>
      </w:r>
      <w:proofErr w:type="spellEnd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Main. 2014 Dec</w:t>
      </w:r>
      <w:proofErr w:type="gramStart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;33</w:t>
      </w:r>
      <w:proofErr w:type="gramEnd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Suppl:S28-43.</w:t>
      </w:r>
    </w:p>
    <w:p w14:paraId="1021BA86" w14:textId="77777777" w:rsidR="00AA5153" w:rsidRPr="00AA5153" w:rsidRDefault="00AA5153" w:rsidP="00AA515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8"/>
          <w:szCs w:val="18"/>
        </w:rPr>
      </w:pPr>
      <w:proofErr w:type="spellStart"/>
      <w:r w:rsidRPr="00AA5153">
        <w:rPr>
          <w:rFonts w:ascii="Tw Cen MT" w:hAnsi="Tw Cen MT"/>
          <w:sz w:val="18"/>
          <w:szCs w:val="18"/>
        </w:rPr>
        <w:t>Lutsky</w:t>
      </w:r>
      <w:proofErr w:type="spellEnd"/>
      <w:r w:rsidRPr="00AA5153">
        <w:rPr>
          <w:rFonts w:ascii="Tw Cen MT" w:hAnsi="Tw Cen MT"/>
          <w:sz w:val="18"/>
          <w:szCs w:val="18"/>
        </w:rPr>
        <w:t xml:space="preserve"> KF (2015). Flexor tendon injury, repair and rehabilitation. </w:t>
      </w:r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Orthop </w:t>
      </w:r>
      <w:proofErr w:type="spellStart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Clin</w:t>
      </w:r>
      <w:proofErr w:type="spellEnd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North Am. 2015 Jan</w:t>
      </w:r>
      <w:proofErr w:type="gramStart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;46</w:t>
      </w:r>
      <w:proofErr w:type="gramEnd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(1):67-76. </w:t>
      </w:r>
      <w:proofErr w:type="spellStart"/>
      <w:proofErr w:type="gramStart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doi</w:t>
      </w:r>
      <w:proofErr w:type="spellEnd"/>
      <w:proofErr w:type="gramEnd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: 10.1016</w:t>
      </w:r>
    </w:p>
    <w:p w14:paraId="78FD6CCF" w14:textId="77777777" w:rsidR="00D4077D" w:rsidRPr="00D4077D" w:rsidRDefault="00D4077D" w:rsidP="00D4077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8"/>
          <w:szCs w:val="18"/>
        </w:rPr>
      </w:pPr>
      <w:proofErr w:type="spellStart"/>
      <w:r w:rsidRPr="00D4077D">
        <w:rPr>
          <w:rFonts w:ascii="Tw Cen MT" w:hAnsi="Tw Cen MT"/>
          <w:sz w:val="18"/>
          <w:szCs w:val="18"/>
        </w:rPr>
        <w:t>Xingchen</w:t>
      </w:r>
      <w:proofErr w:type="spellEnd"/>
      <w:r w:rsidRPr="00D4077D">
        <w:rPr>
          <w:rFonts w:ascii="Tw Cen MT" w:hAnsi="Tw Cen MT"/>
          <w:sz w:val="18"/>
          <w:szCs w:val="18"/>
        </w:rPr>
        <w:t xml:space="preserve"> Li, BA (2016). Failed flexor Tendon repair: What next</w:t>
      </w:r>
      <w:proofErr w:type="gramStart"/>
      <w:r w:rsidRPr="00D4077D">
        <w:rPr>
          <w:rFonts w:ascii="Tw Cen MT" w:hAnsi="Tw Cen MT"/>
          <w:sz w:val="18"/>
          <w:szCs w:val="18"/>
        </w:rPr>
        <w:t>?</w:t>
      </w:r>
      <w:r w:rsidR="005973B9" w:rsidRPr="00D4077D">
        <w:rPr>
          <w:rFonts w:ascii="Tw Cen MT" w:hAnsi="Tw Cen MT"/>
          <w:sz w:val="18"/>
          <w:szCs w:val="18"/>
        </w:rPr>
        <w:t>.</w:t>
      </w:r>
      <w:proofErr w:type="gramEnd"/>
      <w:r w:rsidRPr="00D4077D">
        <w:rPr>
          <w:rFonts w:ascii="Tw Cen MT" w:eastAsia="Times New Roman" w:hAnsi="Tw Cen MT" w:cs="Arial"/>
          <w:color w:val="000000"/>
          <w:sz w:val="18"/>
          <w:szCs w:val="18"/>
          <w:shd w:val="clear" w:color="auto" w:fill="FFFFFF"/>
        </w:rPr>
        <w:t xml:space="preserve"> Eplasty. 2016; 16: ic24</w:t>
      </w:r>
    </w:p>
    <w:p w14:paraId="2D444201" w14:textId="77777777" w:rsidR="00D4077D" w:rsidRPr="00D4077D" w:rsidRDefault="00D4077D" w:rsidP="00D4077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8"/>
          <w:szCs w:val="18"/>
        </w:rPr>
      </w:pPr>
      <w:proofErr w:type="spellStart"/>
      <w:r w:rsidRPr="00D4077D">
        <w:rPr>
          <w:rFonts w:ascii="Tw Cen MT" w:hAnsi="Tw Cen MT"/>
          <w:sz w:val="18"/>
          <w:szCs w:val="18"/>
        </w:rPr>
        <w:t>Djerbi</w:t>
      </w:r>
      <w:proofErr w:type="spellEnd"/>
      <w:r w:rsidRPr="00D4077D">
        <w:rPr>
          <w:rFonts w:ascii="Tw Cen MT" w:hAnsi="Tw Cen MT"/>
          <w:sz w:val="18"/>
          <w:szCs w:val="18"/>
        </w:rPr>
        <w:t xml:space="preserve">, I (2016). Prognostic factors in two-stage flexor tendon reconstruction: Is it possible to predict surgical failure? </w:t>
      </w:r>
      <w:r w:rsidRPr="00D4077D">
        <w:rPr>
          <w:rFonts w:ascii="Tw Cen MT" w:eastAsia="Times New Roman" w:hAnsi="Tw Cen MT" w:cs="Arial"/>
          <w:sz w:val="18"/>
          <w:szCs w:val="18"/>
          <w:lang w:val="en-GB"/>
        </w:rPr>
        <w:t xml:space="preserve">Revue de </w:t>
      </w:r>
      <w:proofErr w:type="spellStart"/>
      <w:r w:rsidRPr="00D4077D">
        <w:rPr>
          <w:rFonts w:ascii="Tw Cen MT" w:eastAsia="Times New Roman" w:hAnsi="Tw Cen MT" w:cs="Arial"/>
          <w:sz w:val="18"/>
          <w:szCs w:val="18"/>
          <w:lang w:val="en-GB"/>
        </w:rPr>
        <w:t>Chirurgie</w:t>
      </w:r>
      <w:proofErr w:type="spellEnd"/>
      <w:r w:rsidRPr="00D4077D">
        <w:rPr>
          <w:rFonts w:ascii="Tw Cen MT" w:eastAsia="Times New Roman" w:hAnsi="Tw Cen MT" w:cs="Arial"/>
          <w:sz w:val="18"/>
          <w:szCs w:val="18"/>
          <w:lang w:val="en-GB"/>
        </w:rPr>
        <w:t xml:space="preserve"> </w:t>
      </w:r>
      <w:proofErr w:type="spellStart"/>
      <w:r w:rsidRPr="00D4077D">
        <w:rPr>
          <w:rFonts w:ascii="Tw Cen MT" w:eastAsia="Times New Roman" w:hAnsi="Tw Cen MT" w:cs="Arial"/>
          <w:sz w:val="18"/>
          <w:szCs w:val="18"/>
          <w:lang w:val="en-GB"/>
        </w:rPr>
        <w:t>Orthopédique</w:t>
      </w:r>
      <w:proofErr w:type="spellEnd"/>
      <w:r w:rsidRPr="00D4077D">
        <w:rPr>
          <w:rFonts w:ascii="Tw Cen MT" w:eastAsia="Times New Roman" w:hAnsi="Tw Cen MT" w:cs="Arial"/>
          <w:sz w:val="18"/>
          <w:szCs w:val="18"/>
          <w:lang w:val="en-GB"/>
        </w:rPr>
        <w:t xml:space="preserve"> et </w:t>
      </w:r>
      <w:proofErr w:type="spellStart"/>
      <w:r w:rsidRPr="00D4077D">
        <w:rPr>
          <w:rFonts w:ascii="Tw Cen MT" w:eastAsia="Times New Roman" w:hAnsi="Tw Cen MT" w:cs="Arial"/>
          <w:sz w:val="18"/>
          <w:szCs w:val="18"/>
          <w:lang w:val="en-GB"/>
        </w:rPr>
        <w:t>Traumatologique</w:t>
      </w:r>
      <w:proofErr w:type="spellEnd"/>
      <w:r w:rsidRPr="00D4077D">
        <w:rPr>
          <w:rFonts w:ascii="Tw Cen MT" w:eastAsia="Times New Roman" w:hAnsi="Tw Cen MT" w:cs="Arial"/>
          <w:sz w:val="18"/>
          <w:szCs w:val="18"/>
          <w:lang w:val="en-GB"/>
        </w:rPr>
        <w:t>, Volume 102, Issue 1, February 2016, Pages 30-37</w:t>
      </w:r>
    </w:p>
    <w:p w14:paraId="2EA4DD22" w14:textId="77777777" w:rsidR="00AA5153" w:rsidRPr="00AA5153" w:rsidRDefault="00AA5153" w:rsidP="00AA515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8"/>
          <w:szCs w:val="18"/>
        </w:rPr>
      </w:pPr>
      <w:proofErr w:type="spellStart"/>
      <w:r w:rsidRPr="00AA5153">
        <w:rPr>
          <w:rFonts w:ascii="Tw Cen MT" w:hAnsi="Tw Cen MT"/>
          <w:sz w:val="18"/>
          <w:szCs w:val="18"/>
        </w:rPr>
        <w:t>Klifto</w:t>
      </w:r>
      <w:proofErr w:type="spellEnd"/>
      <w:r w:rsidRPr="00AA5153">
        <w:rPr>
          <w:rFonts w:ascii="Tw Cen MT" w:hAnsi="Tw Cen MT"/>
          <w:sz w:val="18"/>
          <w:szCs w:val="18"/>
        </w:rPr>
        <w:t xml:space="preserve"> CS (2018). Flexor tendon Injuries. </w:t>
      </w:r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J Am Acad Orthop Surg. 2018 Jan 15</w:t>
      </w:r>
      <w:proofErr w:type="gramStart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;26</w:t>
      </w:r>
      <w:proofErr w:type="gramEnd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(2):e26-e35. </w:t>
      </w:r>
      <w:proofErr w:type="spellStart"/>
      <w:proofErr w:type="gramStart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doi</w:t>
      </w:r>
      <w:proofErr w:type="spellEnd"/>
      <w:proofErr w:type="gramEnd"/>
      <w:r w:rsidRPr="00AA515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: 10.5435</w:t>
      </w:r>
    </w:p>
    <w:p w14:paraId="05C420BF" w14:textId="77777777" w:rsidR="00AA5153" w:rsidRPr="00AA5153" w:rsidRDefault="00D4077D" w:rsidP="00AA515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8"/>
          <w:szCs w:val="18"/>
        </w:rPr>
      </w:pPr>
      <w:r>
        <w:rPr>
          <w:rFonts w:ascii="Tw Cen MT" w:hAnsi="Tw Cen MT"/>
          <w:sz w:val="18"/>
          <w:szCs w:val="18"/>
        </w:rPr>
        <w:t>Piper SL (2019</w:t>
      </w:r>
      <w:r w:rsidRPr="00D4077D">
        <w:rPr>
          <w:rFonts w:ascii="Tw Cen MT" w:hAnsi="Tw Cen MT"/>
          <w:sz w:val="18"/>
          <w:szCs w:val="18"/>
        </w:rPr>
        <w:t xml:space="preserve">). Outcomes after </w:t>
      </w:r>
      <w:proofErr w:type="spellStart"/>
      <w:r w:rsidRPr="00D4077D">
        <w:rPr>
          <w:rFonts w:ascii="Tw Cen MT" w:hAnsi="Tw Cen MT"/>
          <w:sz w:val="18"/>
          <w:szCs w:val="18"/>
        </w:rPr>
        <w:t>Primay</w:t>
      </w:r>
      <w:proofErr w:type="spellEnd"/>
      <w:r w:rsidRPr="00D4077D">
        <w:rPr>
          <w:rFonts w:ascii="Tw Cen MT" w:hAnsi="Tw Cen MT"/>
          <w:sz w:val="18"/>
          <w:szCs w:val="18"/>
        </w:rPr>
        <w:t xml:space="preserve"> Repair and Staged Reconstruction of Zone </w:t>
      </w:r>
      <w:proofErr w:type="gramStart"/>
      <w:r w:rsidRPr="00D4077D">
        <w:rPr>
          <w:rFonts w:ascii="Tw Cen MT" w:hAnsi="Tw Cen MT"/>
          <w:sz w:val="18"/>
          <w:szCs w:val="18"/>
        </w:rPr>
        <w:t>I and II Flexor Tendon Injuries in Children</w:t>
      </w:r>
      <w:proofErr w:type="gramEnd"/>
      <w:r w:rsidRPr="00D4077D">
        <w:rPr>
          <w:rFonts w:ascii="Tw Cen MT" w:hAnsi="Tw Cen MT"/>
          <w:sz w:val="18"/>
          <w:szCs w:val="18"/>
        </w:rPr>
        <w:t xml:space="preserve">. </w:t>
      </w:r>
      <w:r w:rsidRPr="00D4077D">
        <w:rPr>
          <w:rFonts w:ascii="Tw Cen MT" w:eastAsia="Times New Roman" w:hAnsi="Tw Cen MT" w:cs="Arial"/>
          <w:sz w:val="18"/>
          <w:szCs w:val="18"/>
          <w:shd w:val="clear" w:color="auto" w:fill="FFFFFF"/>
        </w:rPr>
        <w:t>J Paediatr Orthop. </w:t>
      </w:r>
      <w:r w:rsidRPr="00D4077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2019 May/Jun</w:t>
      </w:r>
      <w:proofErr w:type="gramStart"/>
      <w:r w:rsidRPr="00D4077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;39</w:t>
      </w:r>
      <w:proofErr w:type="gramEnd"/>
      <w:r w:rsidRPr="00D4077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(5):263-267. </w:t>
      </w:r>
      <w:proofErr w:type="spellStart"/>
      <w:proofErr w:type="gramStart"/>
      <w:r w:rsidRPr="00D4077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doi</w:t>
      </w:r>
      <w:proofErr w:type="spellEnd"/>
      <w:proofErr w:type="gramEnd"/>
      <w:r w:rsidRPr="00D4077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: 10.1097</w:t>
      </w:r>
    </w:p>
    <w:p w14:paraId="5028E620" w14:textId="77777777" w:rsidR="005973B9" w:rsidRDefault="005973B9" w:rsidP="00AA5153">
      <w:pPr>
        <w:tabs>
          <w:tab w:val="left" w:pos="384"/>
        </w:tabs>
        <w:spacing w:line="216" w:lineRule="exact"/>
        <w:ind w:left="100" w:right="137"/>
        <w:rPr>
          <w:sz w:val="18"/>
          <w:szCs w:val="18"/>
        </w:rPr>
      </w:pPr>
    </w:p>
    <w:p w14:paraId="4C112FF1" w14:textId="77777777" w:rsidR="00AA5153" w:rsidRPr="00AA5153" w:rsidRDefault="00AA5153" w:rsidP="00AA5153">
      <w:pPr>
        <w:tabs>
          <w:tab w:val="left" w:pos="384"/>
        </w:tabs>
        <w:spacing w:line="216" w:lineRule="exact"/>
        <w:ind w:left="100" w:right="137"/>
        <w:rPr>
          <w:sz w:val="18"/>
          <w:szCs w:val="18"/>
        </w:rPr>
      </w:pPr>
    </w:p>
    <w:p w14:paraId="4A6913FB" w14:textId="77777777" w:rsidR="00D4077D" w:rsidRDefault="00D4077D" w:rsidP="00D4077D">
      <w:pPr>
        <w:pStyle w:val="BodyText"/>
        <w:spacing w:before="85" w:line="216" w:lineRule="exact"/>
        <w:ind w:right="138"/>
        <w:jc w:val="both"/>
        <w:rPr>
          <w:rFonts w:ascii="Calibri" w:hAnsi="Calibri"/>
        </w:rPr>
      </w:pPr>
    </w:p>
    <w:p w14:paraId="3C305F72" w14:textId="77777777" w:rsidR="00D4077D" w:rsidRDefault="00D4077D" w:rsidP="00D4077D">
      <w:pPr>
        <w:pStyle w:val="BodyText"/>
        <w:spacing w:before="85" w:line="216" w:lineRule="exact"/>
        <w:ind w:right="138"/>
        <w:jc w:val="both"/>
        <w:rPr>
          <w:rFonts w:ascii="Calibri" w:hAnsi="Calibri"/>
        </w:rPr>
      </w:pPr>
    </w:p>
    <w:p w14:paraId="26CA7B65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40ECA98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22FB592" w14:textId="77777777" w:rsidR="00857A02" w:rsidRDefault="00857A02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 xml:space="preserve"> </w:t>
      </w:r>
    </w:p>
    <w:p w14:paraId="0B55779C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 w:rsidRPr="00D62425">
        <w:rPr>
          <w:rFonts w:ascii="Calibri"/>
          <w:b/>
          <w:sz w:val="20"/>
        </w:rPr>
        <w:t>Photograph</w:t>
      </w:r>
    </w:p>
    <w:p w14:paraId="68DA5FC8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FF8BCE1" wp14:editId="7472E1D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C9959C5" w14:textId="77777777" w:rsidR="00857A02" w:rsidRDefault="00857A02" w:rsidP="00857A02">
      <w:pPr>
        <w:spacing w:before="92"/>
        <w:ind w:right="4234"/>
        <w:rPr>
          <w:rFonts w:ascii="Arial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658240" behindDoc="0" locked="0" layoutInCell="1" allowOverlap="1" wp14:anchorId="764F2110" wp14:editId="54B45DEB">
            <wp:simplePos x="0" y="0"/>
            <wp:positionH relativeFrom="column">
              <wp:posOffset>0</wp:posOffset>
            </wp:positionH>
            <wp:positionV relativeFrom="paragraph">
              <wp:posOffset>43180</wp:posOffset>
            </wp:positionV>
            <wp:extent cx="624205" cy="756285"/>
            <wp:effectExtent l="0" t="0" r="10795" b="5715"/>
            <wp:wrapTight wrapText="bothSides">
              <wp:wrapPolygon edited="0">
                <wp:start x="0" y="0"/>
                <wp:lineTo x="0" y="21038"/>
                <wp:lineTo x="21095" y="21038"/>
                <wp:lineTo x="21095" y="0"/>
                <wp:lineTo x="0" y="0"/>
              </wp:wrapPolygon>
            </wp:wrapTight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" cy="7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BF5A14"/>
        </w:rPr>
        <w:t>Biography (150 word limit)</w:t>
      </w:r>
    </w:p>
    <w:p w14:paraId="42159370" w14:textId="77777777" w:rsidR="00857A02" w:rsidRPr="00624E71" w:rsidRDefault="00857A02" w:rsidP="00857A02">
      <w:pPr>
        <w:rPr>
          <w:rFonts w:ascii="Arial" w:eastAsia="Times New Roman" w:hAnsi="Arial" w:cs="Arial"/>
          <w:sz w:val="14"/>
          <w:szCs w:val="14"/>
          <w:lang w:val="en-GB"/>
        </w:rPr>
      </w:pPr>
      <w:proofErr w:type="spellStart"/>
      <w:r w:rsidRPr="00624E71">
        <w:rPr>
          <w:rFonts w:ascii="Arial" w:hAnsi="Arial" w:cs="Arial"/>
          <w:sz w:val="14"/>
          <w:szCs w:val="14"/>
        </w:rPr>
        <w:t>Dr</w:t>
      </w:r>
      <w:proofErr w:type="spellEnd"/>
      <w:r w:rsidRPr="00624E71">
        <w:rPr>
          <w:rFonts w:ascii="Arial" w:hAnsi="Arial" w:cs="Arial"/>
          <w:sz w:val="14"/>
          <w:szCs w:val="14"/>
        </w:rPr>
        <w:t xml:space="preserve"> Mitchell is a young doctor who is striving to pursue a career in Surgery. </w:t>
      </w:r>
      <w:r>
        <w:rPr>
          <w:rFonts w:ascii="Arial" w:hAnsi="Arial" w:cs="Arial"/>
          <w:sz w:val="14"/>
          <w:szCs w:val="14"/>
        </w:rPr>
        <w:t>He trained at the University of Li</w:t>
      </w:r>
      <w:r w:rsidR="00A70F64">
        <w:rPr>
          <w:rFonts w:ascii="Arial" w:hAnsi="Arial" w:cs="Arial"/>
          <w:sz w:val="14"/>
          <w:szCs w:val="14"/>
        </w:rPr>
        <w:t>verpool where he was placed</w:t>
      </w:r>
      <w:r>
        <w:rPr>
          <w:rFonts w:ascii="Arial" w:hAnsi="Arial" w:cs="Arial"/>
          <w:sz w:val="14"/>
          <w:szCs w:val="14"/>
        </w:rPr>
        <w:t xml:space="preserve"> at St Helens and Knowsley Teaching Hospitals NHS Trust under the watchful eye of Consultant Reconstructive Plastic Surgeon </w:t>
      </w:r>
      <w:proofErr w:type="spellStart"/>
      <w:r>
        <w:rPr>
          <w:rFonts w:ascii="Arial" w:hAnsi="Arial" w:cs="Arial"/>
          <w:sz w:val="14"/>
          <w:szCs w:val="14"/>
        </w:rPr>
        <w:t>Mr</w:t>
      </w:r>
      <w:proofErr w:type="spellEnd"/>
      <w:r w:rsidR="0062461A">
        <w:rPr>
          <w:rFonts w:ascii="Arial" w:hAnsi="Arial" w:cs="Arial"/>
          <w:sz w:val="14"/>
          <w:szCs w:val="14"/>
        </w:rPr>
        <w:t xml:space="preserve"> Rowan Pritchard Jones. It was </w:t>
      </w:r>
      <w:r>
        <w:rPr>
          <w:rFonts w:ascii="Arial" w:hAnsi="Arial" w:cs="Arial"/>
          <w:sz w:val="14"/>
          <w:szCs w:val="14"/>
        </w:rPr>
        <w:t xml:space="preserve">here that </w:t>
      </w:r>
      <w:proofErr w:type="spellStart"/>
      <w:r>
        <w:rPr>
          <w:rFonts w:ascii="Arial" w:hAnsi="Arial" w:cs="Arial"/>
          <w:sz w:val="14"/>
          <w:szCs w:val="14"/>
        </w:rPr>
        <w:t>Dr</w:t>
      </w:r>
      <w:proofErr w:type="spellEnd"/>
      <w:r>
        <w:rPr>
          <w:rFonts w:ascii="Arial" w:hAnsi="Arial" w:cs="Arial"/>
          <w:sz w:val="14"/>
          <w:szCs w:val="14"/>
        </w:rPr>
        <w:t xml:space="preserve"> Mitchell completed the above study. He now</w:t>
      </w:r>
      <w:r w:rsidRPr="00624E71">
        <w:rPr>
          <w:rFonts w:ascii="Arial" w:hAnsi="Arial" w:cs="Arial"/>
          <w:sz w:val="14"/>
          <w:szCs w:val="14"/>
        </w:rPr>
        <w:t xml:space="preserve"> works at </w:t>
      </w:r>
      <w:r w:rsidRPr="00624E71">
        <w:rPr>
          <w:rFonts w:ascii="Arial" w:eastAsia="Times New Roman" w:hAnsi="Arial" w:cs="Arial"/>
          <w:bCs/>
          <w:sz w:val="14"/>
          <w:szCs w:val="14"/>
          <w:shd w:val="clear" w:color="auto" w:fill="FFFFFF"/>
          <w:lang w:val="en-GB"/>
        </w:rPr>
        <w:t>Ashford and St</w:t>
      </w:r>
      <w:r w:rsidRPr="00624E71">
        <w:rPr>
          <w:rFonts w:ascii="Arial" w:eastAsia="Times New Roman" w:hAnsi="Arial" w:cs="Arial"/>
          <w:sz w:val="14"/>
          <w:szCs w:val="14"/>
          <w:shd w:val="clear" w:color="auto" w:fill="FFFFFF"/>
          <w:lang w:val="en-GB"/>
        </w:rPr>
        <w:t>. </w:t>
      </w:r>
      <w:r w:rsidRPr="00624E71">
        <w:rPr>
          <w:rFonts w:ascii="Arial" w:eastAsia="Times New Roman" w:hAnsi="Arial" w:cs="Arial"/>
          <w:bCs/>
          <w:sz w:val="14"/>
          <w:szCs w:val="14"/>
          <w:shd w:val="clear" w:color="auto" w:fill="FFFFFF"/>
          <w:lang w:val="en-GB"/>
        </w:rPr>
        <w:t>Peter's</w:t>
      </w:r>
      <w:r w:rsidRPr="00624E71">
        <w:rPr>
          <w:rFonts w:ascii="Arial" w:eastAsia="Times New Roman" w:hAnsi="Arial" w:cs="Arial"/>
          <w:sz w:val="14"/>
          <w:szCs w:val="14"/>
          <w:shd w:val="clear" w:color="auto" w:fill="FFFFFF"/>
          <w:lang w:val="en-GB"/>
        </w:rPr>
        <w:t> Hospitals NHS Foundation Trust </w:t>
      </w:r>
      <w:r>
        <w:rPr>
          <w:rFonts w:ascii="Arial" w:eastAsia="Times New Roman" w:hAnsi="Arial" w:cs="Arial"/>
          <w:sz w:val="14"/>
          <w:szCs w:val="14"/>
          <w:shd w:val="clear" w:color="auto" w:fill="FFFFFF"/>
          <w:lang w:val="en-GB"/>
        </w:rPr>
        <w:t>in the South of England, as a Senior House Office</w:t>
      </w:r>
      <w:r w:rsidR="00A70F64">
        <w:rPr>
          <w:rFonts w:ascii="Arial" w:eastAsia="Times New Roman" w:hAnsi="Arial" w:cs="Arial"/>
          <w:sz w:val="14"/>
          <w:szCs w:val="14"/>
          <w:shd w:val="clear" w:color="auto" w:fill="FFFFFF"/>
          <w:lang w:val="en-GB"/>
        </w:rPr>
        <w:t>r in the Surgical Department. He</w:t>
      </w:r>
      <w:r>
        <w:rPr>
          <w:rFonts w:ascii="Arial" w:eastAsia="Times New Roman" w:hAnsi="Arial" w:cs="Arial"/>
          <w:sz w:val="14"/>
          <w:szCs w:val="14"/>
          <w:shd w:val="clear" w:color="auto" w:fill="FFFFFF"/>
          <w:lang w:val="en-GB"/>
        </w:rPr>
        <w:t xml:space="preserve"> is due to start a new job as a Clinical Teaching Fellow in August 2019, where he will be implementing a new teaching program for Medical Students at St George’s University and Imperial College London. </w:t>
      </w:r>
    </w:p>
    <w:p w14:paraId="50C6045B" w14:textId="77777777" w:rsidR="00857A02" w:rsidRDefault="00857A02" w:rsidP="00404E5B">
      <w:pPr>
        <w:spacing w:before="92"/>
        <w:ind w:right="4234"/>
        <w:rPr>
          <w:noProof/>
        </w:rPr>
      </w:pPr>
    </w:p>
    <w:p w14:paraId="57A1FAA3" w14:textId="77777777" w:rsidR="00AE3E37" w:rsidRPr="00857A02" w:rsidRDefault="00A9710C" w:rsidP="00857A02">
      <w:pPr>
        <w:spacing w:before="62"/>
        <w:ind w:right="4235"/>
        <w:jc w:val="right"/>
        <w:rPr>
          <w:sz w:val="20"/>
          <w:szCs w:val="20"/>
        </w:rPr>
      </w:pPr>
      <w:r w:rsidRPr="00857A02">
        <w:rPr>
          <w:sz w:val="20"/>
          <w:szCs w:val="20"/>
        </w:rPr>
        <w:t xml:space="preserve">Email: </w:t>
      </w:r>
      <w:r w:rsidR="00857A02" w:rsidRPr="00857A02">
        <w:rPr>
          <w:sz w:val="20"/>
          <w:szCs w:val="20"/>
        </w:rPr>
        <w:t>robert.mitchell15@nhs.net</w:t>
      </w:r>
    </w:p>
    <w:p w14:paraId="7C19286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683EAFF" wp14:editId="2DDAFE5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C30453E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2DD5A88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355A1F" w14:textId="77777777" w:rsidR="00A70F64" w:rsidRDefault="00A70F64">
      <w:r>
        <w:separator/>
      </w:r>
    </w:p>
  </w:endnote>
  <w:endnote w:type="continuationSeparator" w:id="0">
    <w:p w14:paraId="1F23A31A" w14:textId="77777777" w:rsidR="00A70F64" w:rsidRDefault="00A70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5E3AA4" w14:textId="77777777" w:rsidR="00A70F64" w:rsidRDefault="00A70F6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4E07A96" wp14:editId="22CBA0A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F74A87" w14:textId="77777777" w:rsidR="00A70F64" w:rsidRPr="005B3A56" w:rsidRDefault="00A70F64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DF2E13A" w14:textId="77777777" w:rsidR="00A70F64" w:rsidRPr="005B3A56" w:rsidRDefault="00A70F64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:rsidR="00A70F64" w:rsidRPr="005B3A56" w:rsidRDefault="00A70F64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70F64" w:rsidRPr="005B3A56" w:rsidRDefault="00A70F64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8DE6660" wp14:editId="070A76E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FDB3EA" w14:textId="77777777" w:rsidR="00A70F64" w:rsidRPr="005B3A56" w:rsidRDefault="00A70F64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7EC136A" w14:textId="77777777" w:rsidR="00A70F64" w:rsidRPr="005B3A56" w:rsidRDefault="00A70F64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:rsidR="00A70F64" w:rsidRPr="005B3A56" w:rsidRDefault="00A70F64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70F64" w:rsidRPr="005B3A56" w:rsidRDefault="00A70F64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78113ED" wp14:editId="6DE63CE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C5D425" w14:textId="77777777" w:rsidR="00A70F64" w:rsidRPr="005B3A56" w:rsidRDefault="00A70F64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86841B7" w14:textId="77777777" w:rsidR="00A70F64" w:rsidRPr="005B3A56" w:rsidRDefault="00A70F64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:rsidR="00A70F64" w:rsidRPr="005B3A56" w:rsidRDefault="00A70F64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70F64" w:rsidRPr="005B3A56" w:rsidRDefault="00A70F64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5B66C8" w14:textId="77777777" w:rsidR="00A70F64" w:rsidRDefault="00A70F64">
      <w:r>
        <w:separator/>
      </w:r>
    </w:p>
  </w:footnote>
  <w:footnote w:type="continuationSeparator" w:id="0">
    <w:p w14:paraId="5D41A170" w14:textId="77777777" w:rsidR="00A70F64" w:rsidRDefault="00A70F6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6EE5C" w14:textId="77777777" w:rsidR="00A70F64" w:rsidRDefault="00A70F6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2176E3B" wp14:editId="37ECC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BBEAB3" w14:textId="77777777" w:rsidR="00A70F64" w:rsidRPr="005B3A56" w:rsidRDefault="00A70F64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:rsidR="00A70F64" w:rsidRPr="005B3A56" w:rsidRDefault="00A70F64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0FBCA83" wp14:editId="2694C89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756E77" w14:textId="77777777" w:rsidR="00A70F64" w:rsidRPr="005B3A56" w:rsidRDefault="00A70F64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E1B8C0B" w14:textId="77777777" w:rsidR="00A70F64" w:rsidRPr="005B3A56" w:rsidRDefault="00A70F64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A70F64" w:rsidRPr="005B3A56" w:rsidRDefault="00A70F64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70F64" w:rsidRPr="005B3A56" w:rsidRDefault="00A70F64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02876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2461A"/>
    <w:rsid w:val="0063497F"/>
    <w:rsid w:val="006D505A"/>
    <w:rsid w:val="0078738A"/>
    <w:rsid w:val="007A68CE"/>
    <w:rsid w:val="00857A02"/>
    <w:rsid w:val="00873DF0"/>
    <w:rsid w:val="008756E6"/>
    <w:rsid w:val="009607A0"/>
    <w:rsid w:val="009B2D44"/>
    <w:rsid w:val="00A07E82"/>
    <w:rsid w:val="00A70F64"/>
    <w:rsid w:val="00A9710C"/>
    <w:rsid w:val="00AA5153"/>
    <w:rsid w:val="00AE3E37"/>
    <w:rsid w:val="00B21A57"/>
    <w:rsid w:val="00C33602"/>
    <w:rsid w:val="00CD6F55"/>
    <w:rsid w:val="00D4077D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DBEDB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1"/>
    <w:rsid w:val="009607A0"/>
    <w:rPr>
      <w:rFonts w:ascii="Arial" w:eastAsia="Arial" w:hAnsi="Arial" w:cs="Arial"/>
      <w:b/>
      <w:bCs/>
      <w:sz w:val="20"/>
      <w:szCs w:val="20"/>
    </w:rPr>
  </w:style>
  <w:style w:type="character" w:customStyle="1" w:styleId="title-text">
    <w:name w:val="title-text"/>
    <w:basedOn w:val="DefaultParagraphFont"/>
    <w:rsid w:val="00D4077D"/>
  </w:style>
  <w:style w:type="character" w:styleId="FollowedHyperlink">
    <w:name w:val="FollowedHyperlink"/>
    <w:basedOn w:val="DefaultParagraphFont"/>
    <w:uiPriority w:val="99"/>
    <w:semiHidden/>
    <w:unhideWhenUsed/>
    <w:rsid w:val="00D4077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1"/>
    <w:rsid w:val="009607A0"/>
    <w:rPr>
      <w:rFonts w:ascii="Arial" w:eastAsia="Arial" w:hAnsi="Arial" w:cs="Arial"/>
      <w:b/>
      <w:bCs/>
      <w:sz w:val="20"/>
      <w:szCs w:val="20"/>
    </w:rPr>
  </w:style>
  <w:style w:type="character" w:customStyle="1" w:styleId="title-text">
    <w:name w:val="title-text"/>
    <w:basedOn w:val="DefaultParagraphFont"/>
    <w:rsid w:val="00D4077D"/>
  </w:style>
  <w:style w:type="character" w:styleId="FollowedHyperlink">
    <w:name w:val="FollowedHyperlink"/>
    <w:basedOn w:val="DefaultParagraphFont"/>
    <w:uiPriority w:val="99"/>
    <w:semiHidden/>
    <w:unhideWhenUsed/>
    <w:rsid w:val="00D407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017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9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589</Words>
  <Characters>3358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Rob Mitchell</cp:lastModifiedBy>
  <cp:revision>3</cp:revision>
  <cp:lastPrinted>2019-05-02T12:42:00Z</cp:lastPrinted>
  <dcterms:created xsi:type="dcterms:W3CDTF">2019-05-02T12:42:00Z</dcterms:created>
  <dcterms:modified xsi:type="dcterms:W3CDTF">2019-05-02T12:45:00Z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