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88E" w:rsidRPr="003B4864" w:rsidRDefault="0017588E" w:rsidP="005E1375">
      <w:pPr>
        <w:spacing w:line="360" w:lineRule="auto"/>
        <w:jc w:val="center"/>
        <w:rPr>
          <w:rFonts w:ascii="Times-Roman" w:hAnsi="Times-Roman" w:cs="Times-Roman"/>
          <w:b/>
          <w:bCs/>
          <w:color w:val="000000"/>
          <w:sz w:val="28"/>
          <w:szCs w:val="28"/>
        </w:rPr>
      </w:pPr>
      <w:r w:rsidRPr="003B4864">
        <w:rPr>
          <w:rFonts w:ascii="Times-Roman" w:hAnsi="Times-Roman" w:cs="Times-Roman"/>
          <w:b/>
          <w:bCs/>
          <w:color w:val="000000"/>
          <w:sz w:val="28"/>
          <w:szCs w:val="28"/>
        </w:rPr>
        <w:t xml:space="preserve">Effect of </w:t>
      </w:r>
      <w:r w:rsidR="005E1375" w:rsidRPr="003B4864">
        <w:rPr>
          <w:rFonts w:asciiTheme="majorBidi" w:hAnsiTheme="majorBidi" w:cstheme="majorBidi"/>
          <w:b/>
          <w:bCs/>
          <w:sz w:val="28"/>
          <w:szCs w:val="28"/>
        </w:rPr>
        <w:t>penconazole</w:t>
      </w:r>
      <w:r w:rsidRPr="003B4864">
        <w:rPr>
          <w:rFonts w:ascii="Times-Roman" w:hAnsi="Times-Roman" w:cs="Times-Roman"/>
          <w:b/>
          <w:bCs/>
          <w:color w:val="000000"/>
          <w:sz w:val="28"/>
          <w:szCs w:val="28"/>
        </w:rPr>
        <w:t xml:space="preserve">: a triazole fungicide on oxidative stress defense system in </w:t>
      </w:r>
      <w:r w:rsidR="005E1375" w:rsidRPr="003B4864">
        <w:rPr>
          <w:rFonts w:asciiTheme="majorBidi" w:hAnsiTheme="majorBidi" w:cstheme="majorBidi"/>
          <w:b/>
          <w:bCs/>
          <w:sz w:val="28"/>
          <w:szCs w:val="28"/>
        </w:rPr>
        <w:t>salt- stressed Safflower (</w:t>
      </w:r>
      <w:r w:rsidR="005E1375" w:rsidRPr="003B4864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Carthamus tinctorius </w:t>
      </w:r>
      <w:r w:rsidR="005E1375" w:rsidRPr="003B4864">
        <w:rPr>
          <w:rFonts w:asciiTheme="majorBidi" w:hAnsiTheme="majorBidi" w:cstheme="majorBidi"/>
          <w:b/>
          <w:bCs/>
          <w:sz w:val="28"/>
          <w:szCs w:val="28"/>
        </w:rPr>
        <w:t xml:space="preserve">L.)  </w:t>
      </w:r>
    </w:p>
    <w:p w:rsidR="0017588E" w:rsidRPr="0017588E" w:rsidRDefault="00094688" w:rsidP="0017588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</w:p>
    <w:p w:rsidR="00EB505F" w:rsidRDefault="00EB505F" w:rsidP="00C13667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7588E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:rsidR="00375F67" w:rsidRDefault="009131E2" w:rsidP="003B17B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70E63">
        <w:rPr>
          <w:rFonts w:asciiTheme="majorBidi" w:hAnsiTheme="majorBidi" w:cstheme="majorBidi"/>
          <w:sz w:val="24"/>
          <w:szCs w:val="24"/>
        </w:rPr>
        <w:t>The mechanism of growth amelioration in salt-stressed safflower (</w:t>
      </w:r>
      <w:r w:rsidRPr="00870E63">
        <w:rPr>
          <w:rFonts w:asciiTheme="majorBidi" w:hAnsiTheme="majorBidi" w:cstheme="majorBidi"/>
          <w:i/>
          <w:iCs/>
          <w:sz w:val="24"/>
          <w:szCs w:val="24"/>
        </w:rPr>
        <w:t xml:space="preserve">Carthamus tinctorius </w:t>
      </w:r>
      <w:r w:rsidRPr="00870E63">
        <w:rPr>
          <w:rFonts w:asciiTheme="majorBidi" w:hAnsiTheme="majorBidi" w:cstheme="majorBidi"/>
          <w:sz w:val="24"/>
          <w:szCs w:val="24"/>
        </w:rPr>
        <w:t>L.</w:t>
      </w:r>
      <w:r w:rsidR="00317106" w:rsidRPr="00870E63">
        <w:rPr>
          <w:rFonts w:asciiTheme="majorBidi" w:hAnsiTheme="majorBidi" w:cstheme="majorBidi"/>
          <w:sz w:val="24"/>
          <w:szCs w:val="24"/>
        </w:rPr>
        <w:t xml:space="preserve"> var. Sofe</w:t>
      </w:r>
      <w:r w:rsidRPr="00870E63">
        <w:rPr>
          <w:rFonts w:asciiTheme="majorBidi" w:hAnsiTheme="majorBidi" w:cstheme="majorBidi"/>
          <w:sz w:val="24"/>
          <w:szCs w:val="24"/>
        </w:rPr>
        <w:t xml:space="preserve">) was </w:t>
      </w:r>
      <w:r w:rsidR="00554B64" w:rsidRPr="00870E63">
        <w:rPr>
          <w:rFonts w:asciiTheme="majorBidi" w:hAnsiTheme="majorBidi" w:cstheme="majorBidi"/>
          <w:sz w:val="24"/>
          <w:szCs w:val="24"/>
        </w:rPr>
        <w:t>studied</w:t>
      </w:r>
      <w:r w:rsidRPr="00870E63">
        <w:rPr>
          <w:rFonts w:asciiTheme="majorBidi" w:hAnsiTheme="majorBidi" w:cstheme="majorBidi"/>
          <w:sz w:val="24"/>
          <w:szCs w:val="24"/>
        </w:rPr>
        <w:t xml:space="preserve"> </w:t>
      </w:r>
      <w:r w:rsidR="00E4283A" w:rsidRPr="00870E63">
        <w:rPr>
          <w:rFonts w:asciiTheme="majorBidi" w:hAnsiTheme="majorBidi" w:cstheme="majorBidi"/>
          <w:sz w:val="24"/>
          <w:szCs w:val="24"/>
        </w:rPr>
        <w:t xml:space="preserve">by </w:t>
      </w:r>
      <w:r w:rsidR="003E67C4" w:rsidRPr="00870E63">
        <w:rPr>
          <w:rFonts w:asciiTheme="majorBidi" w:hAnsiTheme="majorBidi" w:cstheme="majorBidi"/>
          <w:sz w:val="24"/>
          <w:szCs w:val="24"/>
        </w:rPr>
        <w:t>exogenous</w:t>
      </w:r>
      <w:r w:rsidRPr="00870E63">
        <w:rPr>
          <w:rFonts w:asciiTheme="majorBidi" w:hAnsiTheme="majorBidi" w:cstheme="majorBidi"/>
          <w:sz w:val="24"/>
          <w:szCs w:val="24"/>
        </w:rPr>
        <w:t xml:space="preserve"> application of penconazole (PEN). </w:t>
      </w:r>
      <w:r w:rsidR="003474B3" w:rsidRPr="00870E63">
        <w:rPr>
          <w:rFonts w:asciiTheme="majorBidi" w:hAnsiTheme="majorBidi" w:cstheme="majorBidi"/>
          <w:sz w:val="24"/>
          <w:szCs w:val="24"/>
        </w:rPr>
        <w:t xml:space="preserve">Twenty five day-old seedlings </w:t>
      </w:r>
      <w:r w:rsidRPr="00870E63">
        <w:rPr>
          <w:rFonts w:asciiTheme="majorBidi" w:hAnsiTheme="majorBidi" w:cstheme="majorBidi"/>
          <w:sz w:val="24"/>
          <w:szCs w:val="24"/>
        </w:rPr>
        <w:t>were</w:t>
      </w:r>
      <w:r w:rsidRPr="0017588E">
        <w:rPr>
          <w:rFonts w:asciiTheme="majorBidi" w:hAnsiTheme="majorBidi" w:cstheme="majorBidi"/>
          <w:sz w:val="24"/>
          <w:szCs w:val="24"/>
        </w:rPr>
        <w:t xml:space="preserve"> treated with increasing NaCl concentra</w:t>
      </w:r>
      <w:r w:rsidR="00317106">
        <w:rPr>
          <w:rFonts w:asciiTheme="majorBidi" w:hAnsiTheme="majorBidi" w:cstheme="majorBidi"/>
          <w:sz w:val="24"/>
          <w:szCs w:val="24"/>
        </w:rPr>
        <w:t xml:space="preserve">tions (0, 100, and 200 mM) with </w:t>
      </w:r>
      <w:r w:rsidRPr="0017588E">
        <w:rPr>
          <w:rFonts w:asciiTheme="majorBidi" w:hAnsiTheme="majorBidi" w:cstheme="majorBidi"/>
          <w:sz w:val="24"/>
          <w:szCs w:val="24"/>
        </w:rPr>
        <w:t>or without PEN (15 mg l</w:t>
      </w:r>
      <w:r w:rsidRPr="0017588E">
        <w:rPr>
          <w:rFonts w:asciiTheme="majorBidi" w:eastAsia="AdvOTb0c9bf5d+22" w:hAnsiTheme="majorBidi" w:cstheme="majorBidi"/>
          <w:sz w:val="24"/>
          <w:szCs w:val="24"/>
          <w:vertAlign w:val="superscript"/>
        </w:rPr>
        <w:t>−</w:t>
      </w:r>
      <w:r w:rsidRPr="0017588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17588E">
        <w:rPr>
          <w:rFonts w:asciiTheme="majorBidi" w:hAnsiTheme="majorBidi" w:cstheme="majorBidi"/>
          <w:sz w:val="24"/>
          <w:szCs w:val="24"/>
        </w:rPr>
        <w:t>) and were harvested rand</w:t>
      </w:r>
      <w:r w:rsidR="003E67C4" w:rsidRPr="0017588E">
        <w:rPr>
          <w:rFonts w:asciiTheme="majorBidi" w:hAnsiTheme="majorBidi" w:cstheme="majorBidi"/>
          <w:sz w:val="24"/>
          <w:szCs w:val="24"/>
        </w:rPr>
        <w:t>omly at 21 days after treatment</w:t>
      </w:r>
      <w:r w:rsidR="00870E63">
        <w:rPr>
          <w:rFonts w:asciiTheme="majorBidi" w:hAnsiTheme="majorBidi" w:cstheme="majorBidi"/>
          <w:sz w:val="24"/>
          <w:szCs w:val="24"/>
        </w:rPr>
        <w:t xml:space="preserve">. </w:t>
      </w:r>
      <w:r w:rsidRPr="00870E63">
        <w:rPr>
          <w:rFonts w:asciiTheme="majorBidi" w:hAnsiTheme="majorBidi" w:cstheme="majorBidi"/>
          <w:sz w:val="24"/>
          <w:szCs w:val="24"/>
        </w:rPr>
        <w:t>Results sho</w:t>
      </w:r>
      <w:r w:rsidR="00C220CF" w:rsidRPr="00870E63">
        <w:rPr>
          <w:rFonts w:asciiTheme="majorBidi" w:hAnsiTheme="majorBidi" w:cstheme="majorBidi"/>
          <w:sz w:val="24"/>
          <w:szCs w:val="24"/>
        </w:rPr>
        <w:t xml:space="preserve">wed that </w:t>
      </w:r>
      <w:r w:rsidR="003474B3" w:rsidRPr="00870E63">
        <w:rPr>
          <w:rFonts w:asciiTheme="majorBidi" w:hAnsiTheme="majorBidi" w:cstheme="majorBidi"/>
          <w:sz w:val="24"/>
          <w:szCs w:val="24"/>
        </w:rPr>
        <w:t>Photosynthetic pigments in plants decreased sharply with increasing stress levels</w:t>
      </w:r>
      <w:r w:rsidRPr="00870E63">
        <w:rPr>
          <w:rFonts w:asciiTheme="majorBidi" w:hAnsiTheme="majorBidi" w:cstheme="majorBidi"/>
          <w:sz w:val="24"/>
          <w:szCs w:val="24"/>
        </w:rPr>
        <w:t xml:space="preserve">, </w:t>
      </w:r>
      <w:bookmarkStart w:id="0" w:name="_GoBack"/>
      <w:bookmarkEnd w:id="0"/>
      <w:r w:rsidRPr="00870E63">
        <w:rPr>
          <w:rFonts w:asciiTheme="majorBidi" w:hAnsiTheme="majorBidi" w:cstheme="majorBidi"/>
          <w:sz w:val="24"/>
          <w:szCs w:val="24"/>
        </w:rPr>
        <w:t xml:space="preserve">while </w:t>
      </w:r>
      <w:r w:rsidR="003B17B8">
        <w:rPr>
          <w:rFonts w:asciiTheme="majorBidi" w:hAnsiTheme="majorBidi" w:cstheme="majorBidi"/>
          <w:sz w:val="24"/>
          <w:szCs w:val="24"/>
        </w:rPr>
        <w:t>p</w:t>
      </w:r>
      <w:r w:rsidR="003474B3" w:rsidRPr="00870E63">
        <w:rPr>
          <w:rFonts w:asciiTheme="majorBidi" w:hAnsiTheme="majorBidi" w:cstheme="majorBidi"/>
          <w:sz w:val="24"/>
          <w:szCs w:val="24"/>
        </w:rPr>
        <w:t>roline content, lipid peroxidation (measured in terms of MDA) levels</w:t>
      </w:r>
      <w:r w:rsidRPr="00870E63">
        <w:rPr>
          <w:rFonts w:asciiTheme="majorBidi" w:hAnsiTheme="majorBidi" w:cstheme="majorBidi"/>
          <w:sz w:val="24"/>
          <w:szCs w:val="24"/>
        </w:rPr>
        <w:t>, H</w:t>
      </w:r>
      <w:r w:rsidRPr="00870E6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70E63">
        <w:rPr>
          <w:rFonts w:asciiTheme="majorBidi" w:hAnsiTheme="majorBidi" w:cstheme="majorBidi"/>
          <w:sz w:val="24"/>
          <w:szCs w:val="24"/>
        </w:rPr>
        <w:t>O</w:t>
      </w:r>
      <w:r w:rsidRPr="00870E6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70E63">
        <w:rPr>
          <w:rFonts w:asciiTheme="majorBidi" w:hAnsiTheme="majorBidi" w:cstheme="majorBidi"/>
          <w:sz w:val="24"/>
          <w:szCs w:val="24"/>
        </w:rPr>
        <w:t xml:space="preserve"> content,</w:t>
      </w:r>
      <w:r w:rsidR="004950AE" w:rsidRPr="00870E63">
        <w:rPr>
          <w:rFonts w:asciiTheme="majorBidi" w:hAnsiTheme="majorBidi" w:cstheme="majorBidi"/>
          <w:sz w:val="24"/>
          <w:szCs w:val="24"/>
        </w:rPr>
        <w:t xml:space="preserve"> phenolic compounds,</w:t>
      </w:r>
      <w:r w:rsidR="003E67C4" w:rsidRPr="00870E63">
        <w:rPr>
          <w:rFonts w:asciiTheme="majorBidi" w:hAnsiTheme="majorBidi" w:cstheme="majorBidi"/>
          <w:sz w:val="24"/>
          <w:szCs w:val="24"/>
        </w:rPr>
        <w:t xml:space="preserve"> activities </w:t>
      </w:r>
      <w:r w:rsidRPr="00870E63">
        <w:rPr>
          <w:rFonts w:asciiTheme="majorBidi" w:hAnsiTheme="majorBidi" w:cstheme="majorBidi"/>
          <w:sz w:val="24"/>
          <w:szCs w:val="24"/>
        </w:rPr>
        <w:t>of superoxide dismutase</w:t>
      </w:r>
      <w:r w:rsidR="00AD525C" w:rsidRPr="00870E63">
        <w:rPr>
          <w:rFonts w:asciiTheme="majorBidi" w:hAnsiTheme="majorBidi" w:cstheme="majorBidi"/>
          <w:sz w:val="24"/>
          <w:szCs w:val="24"/>
        </w:rPr>
        <w:t xml:space="preserve"> (SOD)</w:t>
      </w:r>
      <w:r w:rsidRPr="00870E63">
        <w:rPr>
          <w:rFonts w:asciiTheme="majorBidi" w:hAnsiTheme="majorBidi" w:cstheme="majorBidi"/>
          <w:sz w:val="24"/>
          <w:szCs w:val="24"/>
        </w:rPr>
        <w:t>, peroxidase</w:t>
      </w:r>
      <w:r w:rsidR="00AD525C" w:rsidRPr="00870E63">
        <w:rPr>
          <w:rFonts w:asciiTheme="majorBidi" w:hAnsiTheme="majorBidi" w:cstheme="majorBidi"/>
          <w:sz w:val="24"/>
          <w:szCs w:val="24"/>
        </w:rPr>
        <w:t xml:space="preserve"> (POX)</w:t>
      </w:r>
      <w:r w:rsidRPr="00870E63">
        <w:rPr>
          <w:rFonts w:asciiTheme="majorBidi" w:hAnsiTheme="majorBidi" w:cstheme="majorBidi"/>
          <w:sz w:val="24"/>
          <w:szCs w:val="24"/>
        </w:rPr>
        <w:t>, polyphenol oxidase (PPO),</w:t>
      </w:r>
      <w:r w:rsidR="00AD525C" w:rsidRPr="00870E63">
        <w:rPr>
          <w:rFonts w:asciiTheme="majorBidi" w:hAnsiTheme="majorBidi" w:cstheme="majorBidi"/>
          <w:sz w:val="24"/>
          <w:szCs w:val="24"/>
        </w:rPr>
        <w:t xml:space="preserve"> ascorbate peroxidase (APX), </w:t>
      </w:r>
      <w:r w:rsidR="00535C42" w:rsidRPr="00870E63">
        <w:rPr>
          <w:rFonts w:asciiTheme="majorBidi" w:hAnsiTheme="majorBidi" w:cstheme="majorBidi"/>
          <w:sz w:val="24"/>
          <w:szCs w:val="24"/>
        </w:rPr>
        <w:t xml:space="preserve">and catalase (CAT) </w:t>
      </w:r>
      <w:r w:rsidR="00CC3FAF" w:rsidRPr="00870E63">
        <w:rPr>
          <w:rFonts w:asciiTheme="majorBidi" w:hAnsiTheme="majorBidi" w:cstheme="majorBidi"/>
          <w:sz w:val="24"/>
          <w:szCs w:val="24"/>
        </w:rPr>
        <w:t xml:space="preserve">remarkably increased. </w:t>
      </w:r>
      <w:r w:rsidR="00535C42" w:rsidRPr="00870E63">
        <w:rPr>
          <w:rFonts w:asciiTheme="majorBidi" w:hAnsiTheme="majorBidi" w:cstheme="majorBidi"/>
          <w:sz w:val="24"/>
          <w:szCs w:val="24"/>
        </w:rPr>
        <w:t>However, seedlings treated with PEN along with the salinity levels showed enhancement in photosynthetic pigments, proline content, antioxidant enzyme activities,</w:t>
      </w:r>
      <w:r w:rsidR="00870E63">
        <w:rPr>
          <w:rFonts w:asciiTheme="majorBidi" w:hAnsiTheme="majorBidi" w:cstheme="majorBidi"/>
          <w:sz w:val="24"/>
          <w:szCs w:val="24"/>
        </w:rPr>
        <w:t xml:space="preserve"> </w:t>
      </w:r>
      <w:r w:rsidR="00870E63" w:rsidRPr="00870E63">
        <w:rPr>
          <w:rFonts w:asciiTheme="majorBidi" w:hAnsiTheme="majorBidi" w:cstheme="majorBidi"/>
          <w:sz w:val="24"/>
          <w:szCs w:val="24"/>
        </w:rPr>
        <w:t>phenolic compounds</w:t>
      </w:r>
      <w:r w:rsidR="00870E63">
        <w:rPr>
          <w:rFonts w:asciiTheme="majorBidi" w:hAnsiTheme="majorBidi" w:cstheme="majorBidi"/>
          <w:sz w:val="24"/>
          <w:szCs w:val="24"/>
        </w:rPr>
        <w:t>,</w:t>
      </w:r>
      <w:r w:rsidR="00535C42" w:rsidRPr="00870E63">
        <w:rPr>
          <w:rFonts w:asciiTheme="majorBidi" w:hAnsiTheme="majorBidi" w:cstheme="majorBidi"/>
          <w:sz w:val="24"/>
          <w:szCs w:val="24"/>
        </w:rPr>
        <w:t xml:space="preserve"> and H</w:t>
      </w:r>
      <w:r w:rsidR="00535C42" w:rsidRPr="00870E6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535C42" w:rsidRPr="00870E63">
        <w:rPr>
          <w:rFonts w:asciiTheme="majorBidi" w:hAnsiTheme="majorBidi" w:cstheme="majorBidi"/>
          <w:sz w:val="24"/>
          <w:szCs w:val="24"/>
        </w:rPr>
        <w:t>O</w:t>
      </w:r>
      <w:r w:rsidR="00535C42" w:rsidRPr="00870E6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535C42" w:rsidRPr="00870E63">
        <w:rPr>
          <w:rFonts w:asciiTheme="majorBidi" w:hAnsiTheme="majorBidi" w:cstheme="majorBidi"/>
          <w:sz w:val="24"/>
          <w:szCs w:val="24"/>
        </w:rPr>
        <w:t xml:space="preserve"> content in compare with control plants but the amount of MDA content </w:t>
      </w:r>
      <w:r w:rsidR="00870E63">
        <w:rPr>
          <w:rFonts w:asciiTheme="majorBidi" w:hAnsiTheme="majorBidi" w:cstheme="majorBidi"/>
          <w:sz w:val="24"/>
          <w:szCs w:val="24"/>
        </w:rPr>
        <w:t xml:space="preserve">decreased in those plants. </w:t>
      </w:r>
      <w:r w:rsidR="00A34634" w:rsidRPr="0017588E">
        <w:rPr>
          <w:rFonts w:asciiTheme="majorBidi" w:hAnsiTheme="majorBidi" w:cstheme="majorBidi"/>
          <w:sz w:val="24"/>
          <w:szCs w:val="24"/>
        </w:rPr>
        <w:t>These results suggest that PEN-</w:t>
      </w:r>
      <w:r w:rsidRPr="0017588E">
        <w:rPr>
          <w:rFonts w:asciiTheme="majorBidi" w:hAnsiTheme="majorBidi" w:cstheme="majorBidi"/>
          <w:sz w:val="24"/>
          <w:szCs w:val="24"/>
        </w:rPr>
        <w:t>induced tolerance t</w:t>
      </w:r>
      <w:r w:rsidR="009D202D" w:rsidRPr="0017588E">
        <w:rPr>
          <w:rFonts w:asciiTheme="majorBidi" w:hAnsiTheme="majorBidi" w:cstheme="majorBidi"/>
          <w:sz w:val="24"/>
          <w:szCs w:val="24"/>
        </w:rPr>
        <w:t xml:space="preserve">o salinity </w:t>
      </w:r>
      <w:r w:rsidRPr="0017588E">
        <w:rPr>
          <w:rFonts w:asciiTheme="majorBidi" w:hAnsiTheme="majorBidi" w:cstheme="majorBidi"/>
          <w:sz w:val="24"/>
          <w:szCs w:val="24"/>
        </w:rPr>
        <w:t xml:space="preserve">in </w:t>
      </w:r>
      <w:r w:rsidR="009D202D" w:rsidRPr="0017588E">
        <w:rPr>
          <w:rFonts w:asciiTheme="majorBidi" w:hAnsiTheme="majorBidi" w:cstheme="majorBidi"/>
          <w:sz w:val="24"/>
          <w:szCs w:val="24"/>
        </w:rPr>
        <w:t>safflower</w:t>
      </w:r>
      <w:r w:rsidRPr="0017588E">
        <w:rPr>
          <w:rFonts w:asciiTheme="majorBidi" w:hAnsiTheme="majorBidi" w:cstheme="majorBidi"/>
          <w:sz w:val="24"/>
          <w:szCs w:val="24"/>
        </w:rPr>
        <w:t xml:space="preserve"> plants </w:t>
      </w:r>
      <w:r w:rsidR="00535C42">
        <w:rPr>
          <w:rFonts w:asciiTheme="majorBidi" w:hAnsiTheme="majorBidi" w:cstheme="majorBidi"/>
          <w:sz w:val="24"/>
          <w:szCs w:val="24"/>
        </w:rPr>
        <w:t>could</w:t>
      </w:r>
      <w:r w:rsidRPr="0017588E">
        <w:rPr>
          <w:rFonts w:asciiTheme="majorBidi" w:hAnsiTheme="majorBidi" w:cstheme="majorBidi"/>
          <w:sz w:val="24"/>
          <w:szCs w:val="24"/>
        </w:rPr>
        <w:t xml:space="preserve"> be related to regulation of antioxidative responses and </w:t>
      </w:r>
      <w:r w:rsidR="009D202D" w:rsidRPr="0017588E">
        <w:rPr>
          <w:rFonts w:asciiTheme="majorBidi" w:hAnsiTheme="majorBidi" w:cstheme="majorBidi"/>
          <w:sz w:val="24"/>
          <w:szCs w:val="24"/>
        </w:rPr>
        <w:t>H</w:t>
      </w:r>
      <w:r w:rsidR="009D202D" w:rsidRPr="0017588E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9D202D" w:rsidRPr="0017588E">
        <w:rPr>
          <w:rFonts w:asciiTheme="majorBidi" w:hAnsiTheme="majorBidi" w:cstheme="majorBidi"/>
          <w:sz w:val="24"/>
          <w:szCs w:val="24"/>
        </w:rPr>
        <w:t>O</w:t>
      </w:r>
      <w:r w:rsidR="009D202D" w:rsidRPr="0017588E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9D202D" w:rsidRPr="0017588E">
        <w:rPr>
          <w:rFonts w:asciiTheme="majorBidi" w:hAnsiTheme="majorBidi" w:cstheme="majorBidi"/>
          <w:sz w:val="24"/>
          <w:szCs w:val="24"/>
        </w:rPr>
        <w:t xml:space="preserve"> </w:t>
      </w:r>
      <w:r w:rsidR="0094253B" w:rsidRPr="0017588E">
        <w:rPr>
          <w:rFonts w:asciiTheme="majorBidi" w:hAnsiTheme="majorBidi" w:cstheme="majorBidi"/>
          <w:sz w:val="24"/>
          <w:szCs w:val="24"/>
        </w:rPr>
        <w:t xml:space="preserve">level. </w:t>
      </w:r>
      <w:r w:rsidR="004950AE" w:rsidRPr="0017588E">
        <w:rPr>
          <w:rFonts w:asciiTheme="majorBidi" w:hAnsiTheme="majorBidi" w:cstheme="majorBidi"/>
          <w:sz w:val="24"/>
          <w:szCs w:val="24"/>
        </w:rPr>
        <w:t xml:space="preserve">Our study suggested that the resistant safflower can direct ROS from a threat to an opportunity by using </w:t>
      </w:r>
      <w:r w:rsidR="00E4283A" w:rsidRPr="0017588E">
        <w:rPr>
          <w:rFonts w:asciiTheme="majorBidi" w:hAnsiTheme="majorBidi" w:cstheme="majorBidi"/>
          <w:sz w:val="24"/>
          <w:szCs w:val="24"/>
        </w:rPr>
        <w:t>a key regulator such as PEN</w:t>
      </w:r>
      <w:r w:rsidR="004950AE" w:rsidRPr="0017588E">
        <w:rPr>
          <w:rFonts w:asciiTheme="majorBidi" w:hAnsiTheme="majorBidi" w:cstheme="majorBidi"/>
          <w:sz w:val="24"/>
          <w:szCs w:val="24"/>
        </w:rPr>
        <w:t>.</w:t>
      </w:r>
      <w:r w:rsidR="00B478B1" w:rsidRPr="0017588E">
        <w:rPr>
          <w:rFonts w:asciiTheme="majorBidi" w:hAnsiTheme="majorBidi" w:cstheme="majorBidi"/>
          <w:sz w:val="24"/>
          <w:szCs w:val="24"/>
        </w:rPr>
        <w:t xml:space="preserve"> Thus,</w:t>
      </w:r>
      <w:r w:rsidR="004950AE" w:rsidRPr="0017588E">
        <w:rPr>
          <w:rFonts w:asciiTheme="majorBidi" w:hAnsiTheme="majorBidi" w:cstheme="majorBidi"/>
          <w:sz w:val="24"/>
          <w:szCs w:val="24"/>
        </w:rPr>
        <w:t xml:space="preserve"> </w:t>
      </w:r>
      <w:r w:rsidR="003E67C4" w:rsidRPr="0017588E">
        <w:rPr>
          <w:rFonts w:asciiTheme="majorBidi" w:hAnsiTheme="majorBidi" w:cstheme="majorBidi"/>
          <w:sz w:val="24"/>
          <w:szCs w:val="24"/>
        </w:rPr>
        <w:t>exogenous</w:t>
      </w:r>
      <w:r w:rsidR="004950AE" w:rsidRPr="0017588E">
        <w:rPr>
          <w:rFonts w:asciiTheme="majorBidi" w:hAnsiTheme="majorBidi" w:cstheme="majorBidi"/>
          <w:sz w:val="24"/>
          <w:szCs w:val="24"/>
        </w:rPr>
        <w:t xml:space="preserve"> application of PEN in </w:t>
      </w:r>
      <w:r w:rsidR="00870E63" w:rsidRPr="00870E63">
        <w:rPr>
          <w:rFonts w:asciiTheme="majorBidi" w:hAnsiTheme="majorBidi" w:cstheme="majorBidi"/>
          <w:sz w:val="24"/>
          <w:szCs w:val="24"/>
        </w:rPr>
        <w:t>safflower</w:t>
      </w:r>
      <w:r w:rsidR="004950AE" w:rsidRPr="0017588E">
        <w:rPr>
          <w:rFonts w:asciiTheme="majorBidi" w:hAnsiTheme="majorBidi" w:cstheme="majorBidi"/>
          <w:sz w:val="24"/>
          <w:szCs w:val="24"/>
        </w:rPr>
        <w:t xml:space="preserve"> played this role through regul</w:t>
      </w:r>
      <w:r w:rsidR="00B478B1" w:rsidRPr="0017588E">
        <w:rPr>
          <w:rFonts w:asciiTheme="majorBidi" w:hAnsiTheme="majorBidi" w:cstheme="majorBidi"/>
          <w:sz w:val="24"/>
          <w:szCs w:val="24"/>
        </w:rPr>
        <w:t>ation of the antioxidant system. Therefore, this component can be conside</w:t>
      </w:r>
      <w:r w:rsidR="003B17B8">
        <w:rPr>
          <w:rFonts w:asciiTheme="majorBidi" w:hAnsiTheme="majorBidi" w:cstheme="majorBidi"/>
          <w:sz w:val="24"/>
          <w:szCs w:val="24"/>
        </w:rPr>
        <w:t xml:space="preserve">red in order to ameliorate salinity </w:t>
      </w:r>
      <w:r w:rsidR="00B478B1" w:rsidRPr="0017588E">
        <w:rPr>
          <w:rFonts w:asciiTheme="majorBidi" w:hAnsiTheme="majorBidi" w:cstheme="majorBidi"/>
          <w:sz w:val="24"/>
          <w:szCs w:val="24"/>
        </w:rPr>
        <w:t>effects in safflower, due to</w:t>
      </w:r>
      <w:r w:rsidR="00A12BBE">
        <w:rPr>
          <w:rFonts w:asciiTheme="majorBidi" w:hAnsiTheme="majorBidi" w:cstheme="majorBidi"/>
          <w:sz w:val="24"/>
          <w:szCs w:val="24"/>
        </w:rPr>
        <w:t xml:space="preserve"> </w:t>
      </w:r>
      <w:r w:rsidR="00A12BBE" w:rsidRPr="0017588E">
        <w:rPr>
          <w:rFonts w:asciiTheme="majorBidi" w:hAnsiTheme="majorBidi" w:cstheme="majorBidi"/>
          <w:sz w:val="24"/>
          <w:szCs w:val="24"/>
        </w:rPr>
        <w:t>its availability</w:t>
      </w:r>
      <w:r w:rsidR="00B478B1" w:rsidRPr="0017588E">
        <w:rPr>
          <w:rFonts w:asciiTheme="majorBidi" w:hAnsiTheme="majorBidi" w:cstheme="majorBidi"/>
          <w:sz w:val="24"/>
          <w:szCs w:val="24"/>
        </w:rPr>
        <w:t xml:space="preserve"> and </w:t>
      </w:r>
      <w:r w:rsidR="00A12BBE" w:rsidRPr="0017588E">
        <w:rPr>
          <w:rFonts w:asciiTheme="majorBidi" w:hAnsiTheme="majorBidi" w:cstheme="majorBidi"/>
          <w:sz w:val="24"/>
          <w:szCs w:val="24"/>
        </w:rPr>
        <w:t>low price</w:t>
      </w:r>
      <w:r w:rsidR="00584B25" w:rsidRPr="0017588E">
        <w:rPr>
          <w:rFonts w:asciiTheme="majorBidi" w:hAnsiTheme="majorBidi" w:cstheme="majorBidi"/>
          <w:sz w:val="24"/>
          <w:szCs w:val="24"/>
        </w:rPr>
        <w:t xml:space="preserve">.  </w:t>
      </w:r>
      <w:r w:rsidR="004950AE" w:rsidRPr="0017588E">
        <w:rPr>
          <w:rFonts w:asciiTheme="majorBidi" w:hAnsiTheme="majorBidi" w:cstheme="majorBidi"/>
          <w:sz w:val="24"/>
          <w:szCs w:val="24"/>
        </w:rPr>
        <w:t xml:space="preserve"> </w:t>
      </w:r>
    </w:p>
    <w:p w:rsidR="00554B64" w:rsidRPr="00870E63" w:rsidRDefault="00E4283A" w:rsidP="00375F6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7588E">
        <w:rPr>
          <w:rFonts w:asciiTheme="majorBidi" w:hAnsiTheme="majorBidi" w:cstheme="majorBidi"/>
          <w:sz w:val="24"/>
          <w:szCs w:val="24"/>
        </w:rPr>
        <w:t xml:space="preserve">  </w:t>
      </w:r>
      <w:r w:rsidR="00A12BBE">
        <w:rPr>
          <w:rFonts w:asciiTheme="majorBidi" w:hAnsiTheme="majorBidi" w:cstheme="majorBidi"/>
          <w:sz w:val="24"/>
          <w:szCs w:val="24"/>
        </w:rPr>
        <w:t xml:space="preserve">  </w:t>
      </w:r>
    </w:p>
    <w:p w:rsidR="00C22D9B" w:rsidRPr="0017588E" w:rsidRDefault="00C22D9B" w:rsidP="00C1366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7588E">
        <w:rPr>
          <w:rFonts w:asciiTheme="majorBidi" w:hAnsiTheme="majorBidi" w:cstheme="majorBidi"/>
          <w:b/>
          <w:bCs/>
          <w:sz w:val="24"/>
          <w:szCs w:val="24"/>
        </w:rPr>
        <w:t xml:space="preserve">Key words: </w:t>
      </w:r>
      <w:r w:rsidR="00E4283A" w:rsidRPr="0017588E">
        <w:rPr>
          <w:rFonts w:asciiTheme="majorBidi" w:hAnsiTheme="majorBidi" w:cstheme="majorBidi"/>
          <w:sz w:val="24"/>
          <w:szCs w:val="24"/>
        </w:rPr>
        <w:t>Salt S</w:t>
      </w:r>
      <w:r w:rsidRPr="0017588E">
        <w:rPr>
          <w:rFonts w:asciiTheme="majorBidi" w:hAnsiTheme="majorBidi" w:cstheme="majorBidi"/>
          <w:sz w:val="24"/>
          <w:szCs w:val="24"/>
        </w:rPr>
        <w:t>tress, Penconazole,</w:t>
      </w:r>
      <w:r w:rsidR="00AA6ABC" w:rsidRPr="0017588E">
        <w:rPr>
          <w:rFonts w:asciiTheme="majorBidi" w:hAnsiTheme="majorBidi" w:cstheme="majorBidi"/>
          <w:sz w:val="24"/>
          <w:szCs w:val="24"/>
        </w:rPr>
        <w:t xml:space="preserve"> Resistance,</w:t>
      </w:r>
      <w:r w:rsidRPr="0017588E">
        <w:rPr>
          <w:rFonts w:asciiTheme="majorBidi" w:hAnsiTheme="majorBidi" w:cstheme="majorBidi"/>
          <w:sz w:val="24"/>
          <w:szCs w:val="24"/>
        </w:rPr>
        <w:t xml:space="preserve"> Safflower</w:t>
      </w:r>
      <w:r w:rsidR="003E01BB" w:rsidRPr="0017588E">
        <w:rPr>
          <w:rFonts w:asciiTheme="majorBidi" w:hAnsiTheme="majorBidi" w:cstheme="majorBidi"/>
          <w:sz w:val="24"/>
          <w:szCs w:val="24"/>
        </w:rPr>
        <w:t xml:space="preserve">  </w:t>
      </w:r>
    </w:p>
    <w:p w:rsidR="004950AE" w:rsidRPr="0017588E" w:rsidRDefault="004950AE" w:rsidP="00C1366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D5709" w:rsidRPr="00C13667" w:rsidRDefault="00CD5709" w:rsidP="0031710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</w:p>
    <w:sectPr w:rsidR="00CD5709" w:rsidRPr="00C13667" w:rsidSect="0068641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106" w:rsidRDefault="00317106" w:rsidP="002504E0">
      <w:pPr>
        <w:spacing w:after="0" w:line="240" w:lineRule="auto"/>
      </w:pPr>
      <w:r>
        <w:separator/>
      </w:r>
    </w:p>
  </w:endnote>
  <w:endnote w:type="continuationSeparator" w:id="0">
    <w:p w:rsidR="00317106" w:rsidRDefault="00317106" w:rsidP="00250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0c9bf5d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51438"/>
      <w:docPartObj>
        <w:docPartGallery w:val="Page Numbers (Bottom of Page)"/>
        <w:docPartUnique/>
      </w:docPartObj>
    </w:sdtPr>
    <w:sdtEndPr/>
    <w:sdtContent>
      <w:p w:rsidR="00317106" w:rsidRDefault="003171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6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7106" w:rsidRDefault="003171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106" w:rsidRDefault="00317106" w:rsidP="002504E0">
      <w:pPr>
        <w:spacing w:after="0" w:line="240" w:lineRule="auto"/>
      </w:pPr>
      <w:r>
        <w:separator/>
      </w:r>
    </w:p>
  </w:footnote>
  <w:footnote w:type="continuationSeparator" w:id="0">
    <w:p w:rsidR="00317106" w:rsidRDefault="00317106" w:rsidP="00250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E35E2"/>
    <w:multiLevelType w:val="hybridMultilevel"/>
    <w:tmpl w:val="E5FC8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s5v5vxpsfrtwle95zupzataztrrrp5r92pp&quot;&gt;My EndNote Library&lt;record-ids&gt;&lt;item&gt;1&lt;/item&gt;&lt;item&gt;3&lt;/item&gt;&lt;item&gt;4&lt;/item&gt;&lt;item&gt;5&lt;/item&gt;&lt;item&gt;6&lt;/item&gt;&lt;item&gt;8&lt;/item&gt;&lt;item&gt;9&lt;/item&gt;&lt;item&gt;10&lt;/item&gt;&lt;item&gt;11&lt;/item&gt;&lt;item&gt;12&lt;/item&gt;&lt;item&gt;13&lt;/item&gt;&lt;item&gt;14&lt;/item&gt;&lt;item&gt;15&lt;/item&gt;&lt;item&gt;19&lt;/item&gt;&lt;item&gt;20&lt;/item&gt;&lt;item&gt;21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8&lt;/item&gt;&lt;item&gt;51&lt;/item&gt;&lt;item&gt;52&lt;/item&gt;&lt;item&gt;53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82&lt;/item&gt;&lt;item&gt;85&lt;/item&gt;&lt;item&gt;86&lt;/item&gt;&lt;item&gt;88&lt;/item&gt;&lt;item&gt;89&lt;/item&gt;&lt;item&gt;90&lt;/item&gt;&lt;item&gt;91&lt;/item&gt;&lt;item&gt;92&lt;/item&gt;&lt;item&gt;94&lt;/item&gt;&lt;item&gt;95&lt;/item&gt;&lt;item&gt;96&lt;/item&gt;&lt;item&gt;97&lt;/item&gt;&lt;item&gt;98&lt;/item&gt;&lt;item&gt;102&lt;/item&gt;&lt;/record-ids&gt;&lt;/item&gt;&lt;/Libraries&gt;"/>
  </w:docVars>
  <w:rsids>
    <w:rsidRoot w:val="008B3BDD"/>
    <w:rsid w:val="00004016"/>
    <w:rsid w:val="0000460A"/>
    <w:rsid w:val="00004CD5"/>
    <w:rsid w:val="00006164"/>
    <w:rsid w:val="0001330E"/>
    <w:rsid w:val="00021E83"/>
    <w:rsid w:val="0002504B"/>
    <w:rsid w:val="00025C33"/>
    <w:rsid w:val="000455E4"/>
    <w:rsid w:val="000464FC"/>
    <w:rsid w:val="00054209"/>
    <w:rsid w:val="00054740"/>
    <w:rsid w:val="000619FC"/>
    <w:rsid w:val="0006731A"/>
    <w:rsid w:val="000842E9"/>
    <w:rsid w:val="00087551"/>
    <w:rsid w:val="00094688"/>
    <w:rsid w:val="00097695"/>
    <w:rsid w:val="000A280A"/>
    <w:rsid w:val="000A340F"/>
    <w:rsid w:val="000B42C5"/>
    <w:rsid w:val="000B473F"/>
    <w:rsid w:val="000C2727"/>
    <w:rsid w:val="000C2EF0"/>
    <w:rsid w:val="000C6E16"/>
    <w:rsid w:val="000D496E"/>
    <w:rsid w:val="000D6655"/>
    <w:rsid w:val="000E1F97"/>
    <w:rsid w:val="000F3F21"/>
    <w:rsid w:val="000F4DE7"/>
    <w:rsid w:val="00100971"/>
    <w:rsid w:val="001055BB"/>
    <w:rsid w:val="00125D19"/>
    <w:rsid w:val="001262B0"/>
    <w:rsid w:val="00130781"/>
    <w:rsid w:val="001429E8"/>
    <w:rsid w:val="001518E1"/>
    <w:rsid w:val="00151C05"/>
    <w:rsid w:val="00152A20"/>
    <w:rsid w:val="001566ED"/>
    <w:rsid w:val="00161390"/>
    <w:rsid w:val="00161613"/>
    <w:rsid w:val="00162B35"/>
    <w:rsid w:val="00166E7D"/>
    <w:rsid w:val="0017588E"/>
    <w:rsid w:val="00175C31"/>
    <w:rsid w:val="00175EFC"/>
    <w:rsid w:val="00177A99"/>
    <w:rsid w:val="00182F74"/>
    <w:rsid w:val="00187FA9"/>
    <w:rsid w:val="00197538"/>
    <w:rsid w:val="001A7D2B"/>
    <w:rsid w:val="001C4628"/>
    <w:rsid w:val="001C7896"/>
    <w:rsid w:val="001D0B11"/>
    <w:rsid w:val="001D2540"/>
    <w:rsid w:val="001D3F3C"/>
    <w:rsid w:val="001E1F4B"/>
    <w:rsid w:val="001E46E4"/>
    <w:rsid w:val="002010B9"/>
    <w:rsid w:val="002240CD"/>
    <w:rsid w:val="00230448"/>
    <w:rsid w:val="00232B26"/>
    <w:rsid w:val="002420E8"/>
    <w:rsid w:val="002504E0"/>
    <w:rsid w:val="0025540C"/>
    <w:rsid w:val="0025614A"/>
    <w:rsid w:val="002562B7"/>
    <w:rsid w:val="002616A3"/>
    <w:rsid w:val="0026295D"/>
    <w:rsid w:val="00262D78"/>
    <w:rsid w:val="002630E7"/>
    <w:rsid w:val="00270441"/>
    <w:rsid w:val="00275237"/>
    <w:rsid w:val="00276C08"/>
    <w:rsid w:val="00281F99"/>
    <w:rsid w:val="00297334"/>
    <w:rsid w:val="002A49B5"/>
    <w:rsid w:val="002B1BC8"/>
    <w:rsid w:val="002C11C5"/>
    <w:rsid w:val="002C3FC8"/>
    <w:rsid w:val="002E23A1"/>
    <w:rsid w:val="002F0D9C"/>
    <w:rsid w:val="002F4B84"/>
    <w:rsid w:val="0030195B"/>
    <w:rsid w:val="00315F11"/>
    <w:rsid w:val="00316484"/>
    <w:rsid w:val="00317106"/>
    <w:rsid w:val="00326645"/>
    <w:rsid w:val="00330054"/>
    <w:rsid w:val="00330639"/>
    <w:rsid w:val="00333742"/>
    <w:rsid w:val="003348FA"/>
    <w:rsid w:val="00335264"/>
    <w:rsid w:val="0034260F"/>
    <w:rsid w:val="0034482F"/>
    <w:rsid w:val="00347229"/>
    <w:rsid w:val="003474B3"/>
    <w:rsid w:val="00351218"/>
    <w:rsid w:val="00352932"/>
    <w:rsid w:val="00353E5B"/>
    <w:rsid w:val="00364EDF"/>
    <w:rsid w:val="0036518D"/>
    <w:rsid w:val="00365D82"/>
    <w:rsid w:val="00371D58"/>
    <w:rsid w:val="0037258F"/>
    <w:rsid w:val="00374A5D"/>
    <w:rsid w:val="00375F67"/>
    <w:rsid w:val="00376670"/>
    <w:rsid w:val="0038447F"/>
    <w:rsid w:val="00390CAD"/>
    <w:rsid w:val="00393693"/>
    <w:rsid w:val="0039750D"/>
    <w:rsid w:val="0039779B"/>
    <w:rsid w:val="003A1DEF"/>
    <w:rsid w:val="003A5128"/>
    <w:rsid w:val="003A6590"/>
    <w:rsid w:val="003B17B8"/>
    <w:rsid w:val="003B1868"/>
    <w:rsid w:val="003B4864"/>
    <w:rsid w:val="003B5B2C"/>
    <w:rsid w:val="003C14E7"/>
    <w:rsid w:val="003D72FF"/>
    <w:rsid w:val="003E01BB"/>
    <w:rsid w:val="003E0E69"/>
    <w:rsid w:val="003E0EEA"/>
    <w:rsid w:val="003E67C4"/>
    <w:rsid w:val="003F0C93"/>
    <w:rsid w:val="0040052A"/>
    <w:rsid w:val="00400944"/>
    <w:rsid w:val="00413B69"/>
    <w:rsid w:val="00414406"/>
    <w:rsid w:val="0041594A"/>
    <w:rsid w:val="004314D6"/>
    <w:rsid w:val="00440F2E"/>
    <w:rsid w:val="00442BA9"/>
    <w:rsid w:val="0044526C"/>
    <w:rsid w:val="00455877"/>
    <w:rsid w:val="00456FE8"/>
    <w:rsid w:val="00461D55"/>
    <w:rsid w:val="0046363E"/>
    <w:rsid w:val="00464EBD"/>
    <w:rsid w:val="00473A6D"/>
    <w:rsid w:val="00475BD5"/>
    <w:rsid w:val="00485C68"/>
    <w:rsid w:val="004950AE"/>
    <w:rsid w:val="0049704D"/>
    <w:rsid w:val="004A5F7C"/>
    <w:rsid w:val="004B05E7"/>
    <w:rsid w:val="004B114C"/>
    <w:rsid w:val="004D169A"/>
    <w:rsid w:val="004D668F"/>
    <w:rsid w:val="004E0AC4"/>
    <w:rsid w:val="004E51F8"/>
    <w:rsid w:val="004F460B"/>
    <w:rsid w:val="0050586C"/>
    <w:rsid w:val="00507120"/>
    <w:rsid w:val="00512CB2"/>
    <w:rsid w:val="00513C69"/>
    <w:rsid w:val="00523A42"/>
    <w:rsid w:val="005240C7"/>
    <w:rsid w:val="00532040"/>
    <w:rsid w:val="00534DDC"/>
    <w:rsid w:val="00535C42"/>
    <w:rsid w:val="005507C5"/>
    <w:rsid w:val="0055270D"/>
    <w:rsid w:val="00554B64"/>
    <w:rsid w:val="00561069"/>
    <w:rsid w:val="005654CA"/>
    <w:rsid w:val="00565B32"/>
    <w:rsid w:val="0057044E"/>
    <w:rsid w:val="00584B25"/>
    <w:rsid w:val="00592D96"/>
    <w:rsid w:val="00593EAE"/>
    <w:rsid w:val="00596BBE"/>
    <w:rsid w:val="00597261"/>
    <w:rsid w:val="005A3156"/>
    <w:rsid w:val="005B2B49"/>
    <w:rsid w:val="005B5CE6"/>
    <w:rsid w:val="005C1554"/>
    <w:rsid w:val="005C7136"/>
    <w:rsid w:val="005D27C5"/>
    <w:rsid w:val="005D4739"/>
    <w:rsid w:val="005D4C91"/>
    <w:rsid w:val="005E1375"/>
    <w:rsid w:val="005E1E49"/>
    <w:rsid w:val="005E2969"/>
    <w:rsid w:val="005F0B37"/>
    <w:rsid w:val="005F0C8A"/>
    <w:rsid w:val="00600038"/>
    <w:rsid w:val="00601FF2"/>
    <w:rsid w:val="00606950"/>
    <w:rsid w:val="00613117"/>
    <w:rsid w:val="006155EA"/>
    <w:rsid w:val="0061793B"/>
    <w:rsid w:val="006231FC"/>
    <w:rsid w:val="00623E49"/>
    <w:rsid w:val="006306E4"/>
    <w:rsid w:val="0063494E"/>
    <w:rsid w:val="0063568D"/>
    <w:rsid w:val="00641864"/>
    <w:rsid w:val="00645D56"/>
    <w:rsid w:val="006518B9"/>
    <w:rsid w:val="006519AE"/>
    <w:rsid w:val="00655D72"/>
    <w:rsid w:val="006601B1"/>
    <w:rsid w:val="00661D33"/>
    <w:rsid w:val="006643A1"/>
    <w:rsid w:val="00665305"/>
    <w:rsid w:val="00672B0A"/>
    <w:rsid w:val="006757A5"/>
    <w:rsid w:val="00677350"/>
    <w:rsid w:val="006813FA"/>
    <w:rsid w:val="00686419"/>
    <w:rsid w:val="00696CB7"/>
    <w:rsid w:val="006A5C2B"/>
    <w:rsid w:val="006B1E30"/>
    <w:rsid w:val="006C764A"/>
    <w:rsid w:val="006D17E8"/>
    <w:rsid w:val="006F0200"/>
    <w:rsid w:val="006F03BC"/>
    <w:rsid w:val="006F3C24"/>
    <w:rsid w:val="006F4B62"/>
    <w:rsid w:val="006F4BEC"/>
    <w:rsid w:val="00701CB2"/>
    <w:rsid w:val="00703181"/>
    <w:rsid w:val="007138D3"/>
    <w:rsid w:val="00723E4E"/>
    <w:rsid w:val="007334CA"/>
    <w:rsid w:val="00733C7F"/>
    <w:rsid w:val="00733F49"/>
    <w:rsid w:val="007432D7"/>
    <w:rsid w:val="00746003"/>
    <w:rsid w:val="0074735E"/>
    <w:rsid w:val="007500D2"/>
    <w:rsid w:val="0075137D"/>
    <w:rsid w:val="007544E5"/>
    <w:rsid w:val="00762D84"/>
    <w:rsid w:val="00763557"/>
    <w:rsid w:val="00767B97"/>
    <w:rsid w:val="00776400"/>
    <w:rsid w:val="007800EA"/>
    <w:rsid w:val="007829BD"/>
    <w:rsid w:val="007906A6"/>
    <w:rsid w:val="00792EF8"/>
    <w:rsid w:val="007A06C5"/>
    <w:rsid w:val="007A496C"/>
    <w:rsid w:val="007A52E3"/>
    <w:rsid w:val="007A726D"/>
    <w:rsid w:val="007C68E8"/>
    <w:rsid w:val="007C6FAD"/>
    <w:rsid w:val="007D1768"/>
    <w:rsid w:val="007D61FF"/>
    <w:rsid w:val="007D7C50"/>
    <w:rsid w:val="007E56E7"/>
    <w:rsid w:val="007F05BD"/>
    <w:rsid w:val="007F481B"/>
    <w:rsid w:val="007F71B8"/>
    <w:rsid w:val="00801AC0"/>
    <w:rsid w:val="00805398"/>
    <w:rsid w:val="008064C4"/>
    <w:rsid w:val="008143C6"/>
    <w:rsid w:val="008207AA"/>
    <w:rsid w:val="0082155C"/>
    <w:rsid w:val="008273DF"/>
    <w:rsid w:val="00837E19"/>
    <w:rsid w:val="00841018"/>
    <w:rsid w:val="008459D1"/>
    <w:rsid w:val="00845D48"/>
    <w:rsid w:val="00847BC1"/>
    <w:rsid w:val="0085042F"/>
    <w:rsid w:val="00850501"/>
    <w:rsid w:val="00855CA0"/>
    <w:rsid w:val="00860E40"/>
    <w:rsid w:val="00861F0F"/>
    <w:rsid w:val="00863F4A"/>
    <w:rsid w:val="00870E63"/>
    <w:rsid w:val="00870F38"/>
    <w:rsid w:val="00886FE7"/>
    <w:rsid w:val="008A28DC"/>
    <w:rsid w:val="008B3BDD"/>
    <w:rsid w:val="008B5A4E"/>
    <w:rsid w:val="008D0FF5"/>
    <w:rsid w:val="008D509A"/>
    <w:rsid w:val="008D5A21"/>
    <w:rsid w:val="008F2A4C"/>
    <w:rsid w:val="00906CAB"/>
    <w:rsid w:val="009131E2"/>
    <w:rsid w:val="00914867"/>
    <w:rsid w:val="00917B27"/>
    <w:rsid w:val="0092120C"/>
    <w:rsid w:val="0092377C"/>
    <w:rsid w:val="009247A4"/>
    <w:rsid w:val="009259CF"/>
    <w:rsid w:val="0094253B"/>
    <w:rsid w:val="009432DF"/>
    <w:rsid w:val="00947412"/>
    <w:rsid w:val="00955653"/>
    <w:rsid w:val="00963B88"/>
    <w:rsid w:val="009650B8"/>
    <w:rsid w:val="00976090"/>
    <w:rsid w:val="0098076D"/>
    <w:rsid w:val="00980CD0"/>
    <w:rsid w:val="00995769"/>
    <w:rsid w:val="009B30B9"/>
    <w:rsid w:val="009B4EE2"/>
    <w:rsid w:val="009C0AD3"/>
    <w:rsid w:val="009C4BC3"/>
    <w:rsid w:val="009C648F"/>
    <w:rsid w:val="009D08C9"/>
    <w:rsid w:val="009D202D"/>
    <w:rsid w:val="009D5E5B"/>
    <w:rsid w:val="009E657C"/>
    <w:rsid w:val="009F2B2E"/>
    <w:rsid w:val="009F3B9D"/>
    <w:rsid w:val="009F6016"/>
    <w:rsid w:val="009F78DB"/>
    <w:rsid w:val="00A0064F"/>
    <w:rsid w:val="00A12BBE"/>
    <w:rsid w:val="00A21AFF"/>
    <w:rsid w:val="00A24060"/>
    <w:rsid w:val="00A2795D"/>
    <w:rsid w:val="00A325D5"/>
    <w:rsid w:val="00A33269"/>
    <w:rsid w:val="00A34634"/>
    <w:rsid w:val="00A370BE"/>
    <w:rsid w:val="00A40D1F"/>
    <w:rsid w:val="00A45EB4"/>
    <w:rsid w:val="00A47BB4"/>
    <w:rsid w:val="00A5144D"/>
    <w:rsid w:val="00A649A6"/>
    <w:rsid w:val="00A71871"/>
    <w:rsid w:val="00AA3178"/>
    <w:rsid w:val="00AA5CB0"/>
    <w:rsid w:val="00AA5DFC"/>
    <w:rsid w:val="00AA6ABC"/>
    <w:rsid w:val="00AB2E7B"/>
    <w:rsid w:val="00AB6243"/>
    <w:rsid w:val="00AC5AFA"/>
    <w:rsid w:val="00AD525C"/>
    <w:rsid w:val="00AE774D"/>
    <w:rsid w:val="00B0606E"/>
    <w:rsid w:val="00B14799"/>
    <w:rsid w:val="00B362E1"/>
    <w:rsid w:val="00B36967"/>
    <w:rsid w:val="00B37312"/>
    <w:rsid w:val="00B42BEB"/>
    <w:rsid w:val="00B478B1"/>
    <w:rsid w:val="00B545CC"/>
    <w:rsid w:val="00B546E8"/>
    <w:rsid w:val="00B62A68"/>
    <w:rsid w:val="00B6374B"/>
    <w:rsid w:val="00B66FB3"/>
    <w:rsid w:val="00B711A2"/>
    <w:rsid w:val="00B722CF"/>
    <w:rsid w:val="00B7285A"/>
    <w:rsid w:val="00B76F3B"/>
    <w:rsid w:val="00B80FD0"/>
    <w:rsid w:val="00B93A11"/>
    <w:rsid w:val="00B948C8"/>
    <w:rsid w:val="00BA0778"/>
    <w:rsid w:val="00BA3BB8"/>
    <w:rsid w:val="00BA511C"/>
    <w:rsid w:val="00BB13C7"/>
    <w:rsid w:val="00BB528B"/>
    <w:rsid w:val="00BB5D42"/>
    <w:rsid w:val="00BC5DC7"/>
    <w:rsid w:val="00BC7192"/>
    <w:rsid w:val="00BD3C2F"/>
    <w:rsid w:val="00BD64A2"/>
    <w:rsid w:val="00BD6863"/>
    <w:rsid w:val="00BD6E19"/>
    <w:rsid w:val="00BD76C6"/>
    <w:rsid w:val="00BE164F"/>
    <w:rsid w:val="00C0157F"/>
    <w:rsid w:val="00C13667"/>
    <w:rsid w:val="00C15612"/>
    <w:rsid w:val="00C202B1"/>
    <w:rsid w:val="00C205BA"/>
    <w:rsid w:val="00C20754"/>
    <w:rsid w:val="00C20AB1"/>
    <w:rsid w:val="00C220CF"/>
    <w:rsid w:val="00C22D9B"/>
    <w:rsid w:val="00C33B60"/>
    <w:rsid w:val="00C347F1"/>
    <w:rsid w:val="00C37681"/>
    <w:rsid w:val="00C40A5C"/>
    <w:rsid w:val="00C5382F"/>
    <w:rsid w:val="00C57730"/>
    <w:rsid w:val="00C60E54"/>
    <w:rsid w:val="00C70A51"/>
    <w:rsid w:val="00C75FA1"/>
    <w:rsid w:val="00C75FB5"/>
    <w:rsid w:val="00C76200"/>
    <w:rsid w:val="00C764DA"/>
    <w:rsid w:val="00C87A98"/>
    <w:rsid w:val="00C914B3"/>
    <w:rsid w:val="00CA2D3E"/>
    <w:rsid w:val="00CA4432"/>
    <w:rsid w:val="00CC0134"/>
    <w:rsid w:val="00CC2FD8"/>
    <w:rsid w:val="00CC3FAF"/>
    <w:rsid w:val="00CC7188"/>
    <w:rsid w:val="00CD5709"/>
    <w:rsid w:val="00CD6547"/>
    <w:rsid w:val="00CD7E42"/>
    <w:rsid w:val="00CE1B63"/>
    <w:rsid w:val="00CE531F"/>
    <w:rsid w:val="00CE5F2C"/>
    <w:rsid w:val="00CF00E3"/>
    <w:rsid w:val="00CF310B"/>
    <w:rsid w:val="00CF58C2"/>
    <w:rsid w:val="00D0124A"/>
    <w:rsid w:val="00D05392"/>
    <w:rsid w:val="00D075F3"/>
    <w:rsid w:val="00D1173B"/>
    <w:rsid w:val="00D23932"/>
    <w:rsid w:val="00D2639E"/>
    <w:rsid w:val="00D26EF9"/>
    <w:rsid w:val="00D310D1"/>
    <w:rsid w:val="00D33A6B"/>
    <w:rsid w:val="00D363E8"/>
    <w:rsid w:val="00D36ECA"/>
    <w:rsid w:val="00D431A0"/>
    <w:rsid w:val="00D632C8"/>
    <w:rsid w:val="00D65956"/>
    <w:rsid w:val="00D66169"/>
    <w:rsid w:val="00D67B08"/>
    <w:rsid w:val="00D75F95"/>
    <w:rsid w:val="00D80524"/>
    <w:rsid w:val="00D80C5C"/>
    <w:rsid w:val="00D85244"/>
    <w:rsid w:val="00D85373"/>
    <w:rsid w:val="00D904A2"/>
    <w:rsid w:val="00DA7C36"/>
    <w:rsid w:val="00DB345E"/>
    <w:rsid w:val="00DB5444"/>
    <w:rsid w:val="00DB78F5"/>
    <w:rsid w:val="00DC5710"/>
    <w:rsid w:val="00DD1471"/>
    <w:rsid w:val="00DD2DFA"/>
    <w:rsid w:val="00DD462B"/>
    <w:rsid w:val="00DE2D00"/>
    <w:rsid w:val="00DE7905"/>
    <w:rsid w:val="00DE7E63"/>
    <w:rsid w:val="00DF192B"/>
    <w:rsid w:val="00DF5975"/>
    <w:rsid w:val="00E00F3D"/>
    <w:rsid w:val="00E03BA3"/>
    <w:rsid w:val="00E170B6"/>
    <w:rsid w:val="00E2245F"/>
    <w:rsid w:val="00E23DC2"/>
    <w:rsid w:val="00E24E6D"/>
    <w:rsid w:val="00E2587A"/>
    <w:rsid w:val="00E3454B"/>
    <w:rsid w:val="00E34715"/>
    <w:rsid w:val="00E35479"/>
    <w:rsid w:val="00E37E24"/>
    <w:rsid w:val="00E407B0"/>
    <w:rsid w:val="00E41B67"/>
    <w:rsid w:val="00E4283A"/>
    <w:rsid w:val="00E44262"/>
    <w:rsid w:val="00E469FA"/>
    <w:rsid w:val="00E522EC"/>
    <w:rsid w:val="00E5278D"/>
    <w:rsid w:val="00E52F40"/>
    <w:rsid w:val="00E539E7"/>
    <w:rsid w:val="00E5791E"/>
    <w:rsid w:val="00E613BA"/>
    <w:rsid w:val="00E62533"/>
    <w:rsid w:val="00E63EF0"/>
    <w:rsid w:val="00E67155"/>
    <w:rsid w:val="00E8335F"/>
    <w:rsid w:val="00E97608"/>
    <w:rsid w:val="00EA0031"/>
    <w:rsid w:val="00EA0DC1"/>
    <w:rsid w:val="00EB0310"/>
    <w:rsid w:val="00EB505F"/>
    <w:rsid w:val="00EC235E"/>
    <w:rsid w:val="00EC3D31"/>
    <w:rsid w:val="00EC7031"/>
    <w:rsid w:val="00ED0FF2"/>
    <w:rsid w:val="00EE6BA3"/>
    <w:rsid w:val="00EF4897"/>
    <w:rsid w:val="00EF5B55"/>
    <w:rsid w:val="00EF7EA7"/>
    <w:rsid w:val="00F01B5B"/>
    <w:rsid w:val="00F03047"/>
    <w:rsid w:val="00F131D3"/>
    <w:rsid w:val="00F166CB"/>
    <w:rsid w:val="00F25076"/>
    <w:rsid w:val="00F34496"/>
    <w:rsid w:val="00F34F68"/>
    <w:rsid w:val="00F42A2C"/>
    <w:rsid w:val="00F5336F"/>
    <w:rsid w:val="00F55B67"/>
    <w:rsid w:val="00F55D6C"/>
    <w:rsid w:val="00F76134"/>
    <w:rsid w:val="00FA70E2"/>
    <w:rsid w:val="00FC0F7F"/>
    <w:rsid w:val="00FC1ADF"/>
    <w:rsid w:val="00FC45AE"/>
    <w:rsid w:val="00FD3935"/>
    <w:rsid w:val="00FE161F"/>
    <w:rsid w:val="00FE19EB"/>
    <w:rsid w:val="00FF1297"/>
    <w:rsid w:val="00FF7C6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303793-3E8D-49BC-B4A2-5C94A7AC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B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B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0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4E0"/>
  </w:style>
  <w:style w:type="paragraph" w:styleId="Footer">
    <w:name w:val="footer"/>
    <w:basedOn w:val="Normal"/>
    <w:link w:val="FooterChar"/>
    <w:uiPriority w:val="99"/>
    <w:unhideWhenUsed/>
    <w:rsid w:val="00250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4E0"/>
  </w:style>
  <w:style w:type="paragraph" w:customStyle="1" w:styleId="para">
    <w:name w:val="para"/>
    <w:basedOn w:val="Normal"/>
    <w:rsid w:val="00371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ref">
    <w:name w:val="citationref"/>
    <w:basedOn w:val="DefaultParagraphFont"/>
    <w:rsid w:val="00371D58"/>
  </w:style>
  <w:style w:type="character" w:styleId="Hyperlink">
    <w:name w:val="Hyperlink"/>
    <w:basedOn w:val="DefaultParagraphFont"/>
    <w:unhideWhenUsed/>
    <w:rsid w:val="00371D5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71D58"/>
    <w:rPr>
      <w:i/>
      <w:iCs/>
    </w:rPr>
  </w:style>
  <w:style w:type="character" w:customStyle="1" w:styleId="shorttext">
    <w:name w:val="short_text"/>
    <w:basedOn w:val="DefaultParagraphFont"/>
    <w:rsid w:val="00606950"/>
  </w:style>
  <w:style w:type="table" w:styleId="TableGrid">
    <w:name w:val="Table Grid"/>
    <w:basedOn w:val="TableNormal"/>
    <w:uiPriority w:val="39"/>
    <w:rsid w:val="009F7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E170B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70B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170B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70B6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297334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09769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0BF8B-DAA6-46B7-988F-6D0F48A9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s</cp:lastModifiedBy>
  <cp:revision>364</cp:revision>
  <cp:lastPrinted>2017-05-26T01:07:00Z</cp:lastPrinted>
  <dcterms:created xsi:type="dcterms:W3CDTF">2016-03-22T06:50:00Z</dcterms:created>
  <dcterms:modified xsi:type="dcterms:W3CDTF">2017-08-01T21:29:00Z</dcterms:modified>
</cp:coreProperties>
</file>