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3236" w:rsidRPr="007E12A9" w:rsidRDefault="00F03236" w:rsidP="00F03236">
      <w:pPr>
        <w:jc w:val="center"/>
        <w:rPr>
          <w:rFonts w:asciiTheme="majorBidi" w:hAnsiTheme="majorBidi" w:cstheme="majorBidi"/>
          <w:b/>
          <w:bCs/>
          <w:lang w:val="en-US"/>
        </w:rPr>
      </w:pPr>
      <w:proofErr w:type="spellStart"/>
      <w:r w:rsidRPr="007E12A9">
        <w:rPr>
          <w:rFonts w:asciiTheme="majorBidi" w:hAnsiTheme="majorBidi" w:cstheme="majorBidi"/>
          <w:b/>
          <w:bCs/>
          <w:lang w:val="en-US"/>
        </w:rPr>
        <w:t>Biosorption</w:t>
      </w:r>
      <w:proofErr w:type="spellEnd"/>
      <w:r w:rsidRPr="007E12A9">
        <w:rPr>
          <w:rFonts w:asciiTheme="majorBidi" w:hAnsiTheme="majorBidi" w:cstheme="majorBidi"/>
          <w:b/>
          <w:bCs/>
          <w:lang w:val="en-US"/>
        </w:rPr>
        <w:t xml:space="preserve"> of ETL dye by</w:t>
      </w:r>
      <w:r>
        <w:rPr>
          <w:rFonts w:asciiTheme="majorBidi" w:hAnsiTheme="majorBidi" w:cstheme="majorBidi"/>
          <w:b/>
          <w:bCs/>
          <w:lang w:val="en-US"/>
        </w:rPr>
        <w:t xml:space="preserve"> </w:t>
      </w:r>
      <w:proofErr w:type="spellStart"/>
      <w:r>
        <w:rPr>
          <w:rFonts w:asciiTheme="majorBidi" w:hAnsiTheme="majorBidi" w:cstheme="majorBidi"/>
          <w:b/>
          <w:bCs/>
          <w:lang w:val="en-US"/>
        </w:rPr>
        <w:t>A</w:t>
      </w:r>
      <w:r w:rsidRPr="007E12A9">
        <w:rPr>
          <w:rFonts w:asciiTheme="majorBidi" w:hAnsiTheme="majorBidi" w:cstheme="majorBidi"/>
          <w:b/>
          <w:bCs/>
          <w:lang w:val="en-US"/>
        </w:rPr>
        <w:t>rundo-donax</w:t>
      </w:r>
      <w:proofErr w:type="spellEnd"/>
      <w:r w:rsidRPr="007E12A9">
        <w:rPr>
          <w:rFonts w:asciiTheme="majorBidi" w:hAnsiTheme="majorBidi" w:cstheme="majorBidi"/>
          <w:b/>
          <w:bCs/>
          <w:lang w:val="en-US"/>
        </w:rPr>
        <w:t xml:space="preserve"> sorbent: box-</w:t>
      </w:r>
      <w:proofErr w:type="spellStart"/>
      <w:r w:rsidRPr="007E12A9">
        <w:rPr>
          <w:rFonts w:asciiTheme="majorBidi" w:hAnsiTheme="majorBidi" w:cstheme="majorBidi"/>
          <w:b/>
          <w:bCs/>
          <w:lang w:val="en-US"/>
        </w:rPr>
        <w:t>behnken</w:t>
      </w:r>
      <w:proofErr w:type="spellEnd"/>
      <w:r w:rsidRPr="007E12A9">
        <w:rPr>
          <w:rFonts w:asciiTheme="majorBidi" w:hAnsiTheme="majorBidi" w:cstheme="majorBidi"/>
          <w:b/>
          <w:bCs/>
          <w:lang w:val="en-US"/>
        </w:rPr>
        <w:t xml:space="preserve"> optimization, equilibrium and kinetic </w:t>
      </w:r>
      <w:proofErr w:type="spellStart"/>
      <w:r w:rsidRPr="007E12A9">
        <w:rPr>
          <w:rFonts w:asciiTheme="majorBidi" w:hAnsiTheme="majorBidi" w:cstheme="majorBidi"/>
          <w:b/>
          <w:bCs/>
          <w:lang w:val="en-US"/>
        </w:rPr>
        <w:t>studie</w:t>
      </w:r>
      <w:proofErr w:type="spellEnd"/>
    </w:p>
    <w:p w:rsidR="00F03236" w:rsidRPr="009212A2" w:rsidRDefault="00F03236" w:rsidP="00F03236">
      <w:pPr>
        <w:jc w:val="center"/>
        <w:rPr>
          <w:rFonts w:asciiTheme="majorBidi" w:hAnsiTheme="majorBidi" w:cstheme="majorBidi"/>
          <w:b/>
          <w:bCs/>
          <w:sz w:val="18"/>
          <w:szCs w:val="18"/>
          <w:vertAlign w:val="superscript"/>
          <w:lang w:val="en-US"/>
        </w:rPr>
      </w:pPr>
      <w:r w:rsidRPr="009212A2">
        <w:rPr>
          <w:rFonts w:asciiTheme="majorBidi" w:hAnsiTheme="majorBidi" w:cstheme="majorBidi"/>
          <w:bCs/>
          <w:i/>
          <w:iCs/>
          <w:sz w:val="18"/>
          <w:szCs w:val="18"/>
          <w:u w:val="single"/>
          <w:lang w:val="en-US"/>
        </w:rPr>
        <w:t>F. OUAZANI</w:t>
      </w:r>
      <w:r w:rsidRPr="009212A2">
        <w:rPr>
          <w:rFonts w:asciiTheme="majorBidi" w:hAnsiTheme="majorBidi" w:cstheme="majorBidi"/>
          <w:bCs/>
          <w:i/>
          <w:iCs/>
          <w:sz w:val="18"/>
          <w:szCs w:val="18"/>
          <w:u w:val="single"/>
          <w:vertAlign w:val="superscript"/>
          <w:lang w:val="en-US"/>
        </w:rPr>
        <w:t>1</w:t>
      </w:r>
      <w:r w:rsidRPr="009212A2">
        <w:rPr>
          <w:rFonts w:asciiTheme="majorBidi" w:hAnsiTheme="majorBidi" w:cstheme="majorBidi"/>
          <w:bCs/>
          <w:i/>
          <w:iCs/>
          <w:sz w:val="18"/>
          <w:szCs w:val="18"/>
          <w:lang w:val="en-US"/>
        </w:rPr>
        <w:t>, A. IDDOU</w:t>
      </w:r>
      <w:r w:rsidRPr="009212A2">
        <w:rPr>
          <w:rFonts w:asciiTheme="majorBidi" w:hAnsiTheme="majorBidi" w:cstheme="majorBidi"/>
          <w:bCs/>
          <w:i/>
          <w:iCs/>
          <w:sz w:val="18"/>
          <w:szCs w:val="18"/>
          <w:vertAlign w:val="superscript"/>
          <w:lang w:val="en-US"/>
        </w:rPr>
        <w:t>1</w:t>
      </w:r>
      <w:r w:rsidRPr="009212A2">
        <w:rPr>
          <w:rFonts w:asciiTheme="majorBidi" w:hAnsiTheme="majorBidi" w:cstheme="majorBidi"/>
          <w:bCs/>
          <w:i/>
          <w:iCs/>
          <w:sz w:val="18"/>
          <w:szCs w:val="18"/>
          <w:lang w:val="en-US"/>
        </w:rPr>
        <w:t>, A. AZIZ</w:t>
      </w:r>
      <w:r w:rsidRPr="009212A2">
        <w:rPr>
          <w:rFonts w:asciiTheme="majorBidi" w:hAnsiTheme="majorBidi" w:cstheme="majorBidi"/>
          <w:bCs/>
          <w:i/>
          <w:iCs/>
          <w:sz w:val="18"/>
          <w:szCs w:val="18"/>
          <w:vertAlign w:val="superscript"/>
          <w:lang w:val="en-US"/>
        </w:rPr>
        <w:t>1</w:t>
      </w:r>
      <w:r>
        <w:rPr>
          <w:rFonts w:asciiTheme="majorBidi" w:hAnsiTheme="majorBidi" w:cstheme="majorBidi"/>
          <w:bCs/>
          <w:i/>
          <w:iCs/>
          <w:sz w:val="18"/>
          <w:szCs w:val="18"/>
          <w:lang w:val="en-US"/>
        </w:rPr>
        <w:t>, M</w:t>
      </w:r>
      <w:r w:rsidRPr="009212A2">
        <w:rPr>
          <w:rFonts w:asciiTheme="majorBidi" w:hAnsiTheme="majorBidi" w:cstheme="majorBidi"/>
          <w:bCs/>
          <w:i/>
          <w:iCs/>
          <w:sz w:val="18"/>
          <w:szCs w:val="18"/>
          <w:lang w:val="en-US"/>
        </w:rPr>
        <w:t>. delagardia</w:t>
      </w:r>
      <w:r w:rsidRPr="009212A2">
        <w:rPr>
          <w:rFonts w:asciiTheme="majorBidi" w:hAnsiTheme="majorBidi" w:cstheme="majorBidi"/>
          <w:bCs/>
          <w:i/>
          <w:iCs/>
          <w:sz w:val="18"/>
          <w:szCs w:val="18"/>
          <w:vertAlign w:val="superscript"/>
          <w:lang w:val="en-US"/>
        </w:rPr>
        <w:t>2</w:t>
      </w:r>
    </w:p>
    <w:p w:rsidR="00F03236" w:rsidRDefault="00F03236" w:rsidP="00F03236">
      <w:pPr>
        <w:spacing w:after="0" w:line="240" w:lineRule="auto"/>
        <w:jc w:val="center"/>
        <w:rPr>
          <w:rStyle w:val="hps"/>
          <w:rFonts w:asciiTheme="majorBidi" w:hAnsiTheme="majorBidi" w:cstheme="majorBidi"/>
          <w:sz w:val="18"/>
          <w:szCs w:val="18"/>
          <w:lang w:val="en-US"/>
        </w:rPr>
      </w:pPr>
      <w:r>
        <w:rPr>
          <w:rStyle w:val="hps"/>
          <w:rFonts w:asciiTheme="majorBidi" w:hAnsiTheme="majorBidi" w:cstheme="majorBidi"/>
          <w:sz w:val="18"/>
          <w:szCs w:val="18"/>
          <w:lang w:val="en-US"/>
        </w:rPr>
        <w:t xml:space="preserve">1. </w:t>
      </w:r>
      <w:r w:rsidRPr="007E12A9">
        <w:rPr>
          <w:rStyle w:val="hps"/>
          <w:rFonts w:asciiTheme="majorBidi" w:hAnsiTheme="majorBidi" w:cstheme="majorBidi"/>
          <w:sz w:val="18"/>
          <w:szCs w:val="18"/>
          <w:lang w:val="en-US"/>
        </w:rPr>
        <w:t>Laboratory</w:t>
      </w:r>
      <w:r w:rsidRPr="007E12A9">
        <w:rPr>
          <w:rFonts w:asciiTheme="majorBidi" w:hAnsiTheme="majorBidi" w:cstheme="majorBidi"/>
          <w:sz w:val="18"/>
          <w:szCs w:val="18"/>
          <w:lang w:val="en-US"/>
        </w:rPr>
        <w:t xml:space="preserve"> of </w:t>
      </w:r>
      <w:r w:rsidRPr="007E12A9">
        <w:rPr>
          <w:rStyle w:val="hps"/>
          <w:rFonts w:asciiTheme="majorBidi" w:hAnsiTheme="majorBidi" w:cstheme="majorBidi"/>
          <w:sz w:val="18"/>
          <w:szCs w:val="18"/>
          <w:lang w:val="en-US"/>
        </w:rPr>
        <w:t>recovery materials</w:t>
      </w:r>
      <w:r w:rsidRPr="007E12A9">
        <w:rPr>
          <w:rFonts w:asciiTheme="majorBidi" w:hAnsiTheme="majorBidi" w:cstheme="majorBidi"/>
          <w:sz w:val="18"/>
          <w:szCs w:val="18"/>
          <w:lang w:val="en-US"/>
        </w:rPr>
        <w:t>.</w:t>
      </w:r>
      <w:r>
        <w:rPr>
          <w:rFonts w:asciiTheme="majorBidi" w:hAnsiTheme="majorBidi" w:cstheme="majorBidi"/>
          <w:sz w:val="18"/>
          <w:szCs w:val="18"/>
          <w:lang w:val="en-US"/>
        </w:rPr>
        <w:t xml:space="preserve"> </w:t>
      </w:r>
      <w:r w:rsidRPr="007E12A9">
        <w:rPr>
          <w:rStyle w:val="hps"/>
          <w:rFonts w:asciiTheme="majorBidi" w:hAnsiTheme="majorBidi" w:cstheme="majorBidi"/>
          <w:sz w:val="18"/>
          <w:szCs w:val="18"/>
          <w:lang w:val="en-US"/>
        </w:rPr>
        <w:t>Faculty of Science</w:t>
      </w:r>
      <w:r>
        <w:rPr>
          <w:rStyle w:val="hps"/>
          <w:rFonts w:asciiTheme="majorBidi" w:hAnsiTheme="majorBidi" w:cstheme="majorBidi"/>
          <w:sz w:val="18"/>
          <w:szCs w:val="18"/>
          <w:lang w:val="en-US"/>
        </w:rPr>
        <w:t xml:space="preserve"> </w:t>
      </w:r>
      <w:r w:rsidRPr="007E12A9">
        <w:rPr>
          <w:rStyle w:val="hps"/>
          <w:rFonts w:asciiTheme="majorBidi" w:hAnsiTheme="majorBidi" w:cstheme="majorBidi"/>
          <w:sz w:val="18"/>
          <w:szCs w:val="18"/>
          <w:lang w:val="en-US"/>
        </w:rPr>
        <w:t>and Technology</w:t>
      </w:r>
    </w:p>
    <w:p w:rsidR="00F03236" w:rsidRDefault="00F03236" w:rsidP="00F03236">
      <w:pPr>
        <w:spacing w:after="0" w:line="240" w:lineRule="auto"/>
        <w:jc w:val="center"/>
        <w:rPr>
          <w:rStyle w:val="hps"/>
          <w:rFonts w:asciiTheme="majorBidi" w:hAnsiTheme="majorBidi" w:cstheme="majorBidi"/>
          <w:sz w:val="18"/>
          <w:szCs w:val="18"/>
          <w:lang w:val="en-US"/>
        </w:rPr>
      </w:pPr>
      <w:proofErr w:type="gramStart"/>
      <w:r w:rsidRPr="007E12A9">
        <w:rPr>
          <w:rStyle w:val="hps"/>
          <w:rFonts w:asciiTheme="majorBidi" w:hAnsiTheme="majorBidi" w:cstheme="majorBidi"/>
          <w:sz w:val="18"/>
          <w:szCs w:val="18"/>
          <w:lang w:val="en-US"/>
        </w:rPr>
        <w:t>University of</w:t>
      </w:r>
      <w:r>
        <w:rPr>
          <w:rStyle w:val="hps"/>
          <w:rFonts w:asciiTheme="majorBidi" w:hAnsiTheme="majorBidi" w:cstheme="majorBidi"/>
          <w:sz w:val="18"/>
          <w:szCs w:val="18"/>
          <w:lang w:val="en-US"/>
        </w:rPr>
        <w:t xml:space="preserve"> </w:t>
      </w:r>
      <w:proofErr w:type="spellStart"/>
      <w:r w:rsidRPr="007E12A9">
        <w:rPr>
          <w:rStyle w:val="hps"/>
          <w:rFonts w:asciiTheme="majorBidi" w:hAnsiTheme="majorBidi" w:cstheme="majorBidi"/>
          <w:sz w:val="18"/>
          <w:szCs w:val="18"/>
          <w:lang w:val="en-US"/>
        </w:rPr>
        <w:t>Mostaganem</w:t>
      </w:r>
      <w:proofErr w:type="spellEnd"/>
      <w:r>
        <w:rPr>
          <w:rStyle w:val="hps"/>
          <w:rFonts w:asciiTheme="majorBidi" w:hAnsiTheme="majorBidi" w:cstheme="majorBidi"/>
          <w:sz w:val="18"/>
          <w:szCs w:val="18"/>
          <w:lang w:val="en-US"/>
        </w:rPr>
        <w:t xml:space="preserve"> Bp 227Mostaganem</w:t>
      </w:r>
      <w:r w:rsidRPr="007E12A9">
        <w:rPr>
          <w:rStyle w:val="hps"/>
          <w:rFonts w:asciiTheme="majorBidi" w:hAnsiTheme="majorBidi" w:cstheme="majorBidi"/>
          <w:sz w:val="18"/>
          <w:szCs w:val="18"/>
          <w:lang w:val="en-US"/>
        </w:rPr>
        <w:t>27000</w:t>
      </w:r>
      <w:r>
        <w:rPr>
          <w:rStyle w:val="hps"/>
          <w:rFonts w:asciiTheme="majorBidi" w:hAnsiTheme="majorBidi" w:cstheme="majorBidi"/>
          <w:sz w:val="18"/>
          <w:szCs w:val="18"/>
          <w:lang w:val="en-US"/>
        </w:rPr>
        <w:t>.</w:t>
      </w:r>
      <w:r w:rsidRPr="007E12A9">
        <w:rPr>
          <w:rStyle w:val="hps"/>
          <w:rFonts w:asciiTheme="majorBidi" w:hAnsiTheme="majorBidi" w:cstheme="majorBidi"/>
          <w:sz w:val="18"/>
          <w:szCs w:val="18"/>
          <w:lang w:val="en-US"/>
        </w:rPr>
        <w:t>Algeria</w:t>
      </w:r>
      <w:r>
        <w:rPr>
          <w:rStyle w:val="hps"/>
          <w:rFonts w:asciiTheme="majorBidi" w:hAnsiTheme="majorBidi" w:cstheme="majorBidi"/>
          <w:sz w:val="18"/>
          <w:szCs w:val="18"/>
          <w:lang w:val="en-US"/>
        </w:rPr>
        <w:t>.</w:t>
      </w:r>
      <w:proofErr w:type="gramEnd"/>
    </w:p>
    <w:p w:rsidR="00F03236" w:rsidRPr="009D127A" w:rsidRDefault="00F03236" w:rsidP="00F03236">
      <w:pPr>
        <w:pStyle w:val="Sansinterligne"/>
        <w:jc w:val="center"/>
        <w:rPr>
          <w:rFonts w:asciiTheme="majorBidi" w:hAnsiTheme="majorBidi" w:cstheme="majorBidi"/>
          <w:snapToGrid w:val="0"/>
          <w:color w:val="000000"/>
          <w:sz w:val="16"/>
          <w:lang w:val="en-GB"/>
        </w:rPr>
      </w:pPr>
      <w:r>
        <w:rPr>
          <w:rStyle w:val="hps"/>
          <w:rFonts w:asciiTheme="majorBidi" w:hAnsiTheme="majorBidi" w:cstheme="majorBidi"/>
          <w:sz w:val="18"/>
          <w:szCs w:val="18"/>
          <w:lang w:val="en-US"/>
        </w:rPr>
        <w:t xml:space="preserve">2. </w:t>
      </w:r>
      <w:r w:rsidRPr="007E12A9">
        <w:rPr>
          <w:rStyle w:val="hps"/>
          <w:rFonts w:asciiTheme="majorBidi" w:hAnsiTheme="majorBidi" w:cstheme="majorBidi"/>
          <w:sz w:val="18"/>
          <w:szCs w:val="18"/>
          <w:lang w:val="en-US"/>
        </w:rPr>
        <w:t>Laboratory</w:t>
      </w:r>
      <w:r w:rsidRPr="007E12A9">
        <w:rPr>
          <w:lang w:val="en-US"/>
        </w:rPr>
        <w:t xml:space="preserve"> of </w:t>
      </w:r>
      <w:r w:rsidRPr="009212A2">
        <w:rPr>
          <w:rStyle w:val="hps"/>
          <w:rFonts w:asciiTheme="majorBidi" w:hAnsiTheme="majorBidi" w:cstheme="majorBidi"/>
          <w:sz w:val="18"/>
          <w:szCs w:val="18"/>
          <w:lang w:val="en-US"/>
        </w:rPr>
        <w:t xml:space="preserve">Analytical Chemistry of the University of </w:t>
      </w:r>
      <w:proofErr w:type="spellStart"/>
      <w:r w:rsidRPr="009D127A">
        <w:rPr>
          <w:rFonts w:asciiTheme="majorBidi" w:hAnsiTheme="majorBidi" w:cstheme="majorBidi"/>
          <w:snapToGrid w:val="0"/>
          <w:color w:val="000000"/>
          <w:sz w:val="16"/>
          <w:lang w:val="en-GB"/>
        </w:rPr>
        <w:t>B</w:t>
      </w:r>
      <w:r w:rsidRPr="009D127A">
        <w:rPr>
          <w:rFonts w:asciiTheme="majorBidi" w:hAnsiTheme="majorBidi" w:cstheme="majorBidi"/>
          <w:snapToGrid w:val="0"/>
          <w:color w:val="000000"/>
          <w:sz w:val="14"/>
          <w:szCs w:val="20"/>
          <w:lang w:val="en-GB"/>
        </w:rPr>
        <w:t>u</w:t>
      </w:r>
      <w:r w:rsidRPr="00D67A6C">
        <w:rPr>
          <w:rFonts w:asciiTheme="majorBidi" w:hAnsiTheme="majorBidi" w:cstheme="majorBidi"/>
          <w:snapToGrid w:val="0"/>
          <w:color w:val="000000"/>
          <w:sz w:val="16"/>
          <w:szCs w:val="16"/>
          <w:lang w:val="en-GB"/>
        </w:rPr>
        <w:t>rjassot</w:t>
      </w:r>
      <w:proofErr w:type="spellEnd"/>
      <w:r>
        <w:rPr>
          <w:rFonts w:asciiTheme="majorBidi" w:hAnsiTheme="majorBidi" w:cstheme="majorBidi"/>
          <w:snapToGrid w:val="0"/>
          <w:color w:val="000000"/>
          <w:sz w:val="16"/>
          <w:szCs w:val="16"/>
          <w:lang w:val="en-GB"/>
        </w:rPr>
        <w:t xml:space="preserve"> </w:t>
      </w:r>
      <w:r w:rsidRPr="009D127A">
        <w:rPr>
          <w:rFonts w:asciiTheme="majorBidi" w:hAnsiTheme="majorBidi" w:cstheme="majorBidi"/>
          <w:snapToGrid w:val="0"/>
          <w:color w:val="000000"/>
          <w:sz w:val="16"/>
          <w:lang w:val="en-GB"/>
        </w:rPr>
        <w:t>(V</w:t>
      </w:r>
      <w:r>
        <w:rPr>
          <w:rFonts w:asciiTheme="majorBidi" w:hAnsiTheme="majorBidi" w:cstheme="majorBidi"/>
          <w:snapToGrid w:val="0"/>
          <w:color w:val="000000"/>
          <w:sz w:val="16"/>
          <w:lang w:val="en-GB"/>
        </w:rPr>
        <w:t>ale</w:t>
      </w:r>
      <w:r w:rsidRPr="009D127A">
        <w:rPr>
          <w:rFonts w:asciiTheme="majorBidi" w:hAnsiTheme="majorBidi" w:cstheme="majorBidi"/>
          <w:snapToGrid w:val="0"/>
          <w:color w:val="000000"/>
          <w:sz w:val="16"/>
          <w:lang w:val="en-GB"/>
        </w:rPr>
        <w:t>ncia)</w:t>
      </w:r>
    </w:p>
    <w:p w:rsidR="00F03236" w:rsidRPr="00DA0582" w:rsidRDefault="00F03236" w:rsidP="00F03236">
      <w:pPr>
        <w:pStyle w:val="Sansinterligne"/>
        <w:jc w:val="center"/>
        <w:rPr>
          <w:rStyle w:val="hps"/>
          <w:rFonts w:asciiTheme="majorBidi" w:hAnsiTheme="majorBidi" w:cstheme="majorBidi"/>
          <w:snapToGrid w:val="0"/>
          <w:color w:val="000000"/>
          <w:sz w:val="16"/>
          <w:lang w:val="en-US"/>
        </w:rPr>
      </w:pPr>
      <w:proofErr w:type="gramStart"/>
      <w:r w:rsidRPr="00DA0582">
        <w:rPr>
          <w:rFonts w:asciiTheme="majorBidi" w:hAnsiTheme="majorBidi" w:cstheme="majorBidi"/>
          <w:snapToGrid w:val="0"/>
          <w:color w:val="000000"/>
          <w:sz w:val="16"/>
          <w:lang w:val="en-US"/>
        </w:rPr>
        <w:t>Spain .</w:t>
      </w:r>
      <w:proofErr w:type="gramEnd"/>
    </w:p>
    <w:p w:rsidR="001A6CC1" w:rsidRDefault="00F03236" w:rsidP="00F03236">
      <w:pPr>
        <w:jc w:val="center"/>
        <w:rPr>
          <w:rFonts w:asciiTheme="majorBidi" w:hAnsiTheme="majorBidi" w:cstheme="majorBidi"/>
          <w:bCs/>
          <w:i/>
          <w:iCs/>
          <w:sz w:val="18"/>
          <w:szCs w:val="18"/>
          <w:lang w:val="en-US"/>
        </w:rPr>
      </w:pPr>
      <w:hyperlink r:id="rId4" w:history="1">
        <w:r w:rsidRPr="00BC1268">
          <w:rPr>
            <w:rStyle w:val="Lienhypertexte"/>
            <w:rFonts w:asciiTheme="majorBidi" w:hAnsiTheme="majorBidi" w:cstheme="majorBidi"/>
            <w:bCs/>
            <w:i/>
            <w:iCs/>
            <w:sz w:val="18"/>
            <w:szCs w:val="18"/>
            <w:lang w:val="en-US"/>
          </w:rPr>
          <w:t>Ouazanifouzia@yahoo.fr</w:t>
        </w:r>
      </w:hyperlink>
    </w:p>
    <w:p w:rsidR="00F03236" w:rsidRPr="00DA0582" w:rsidRDefault="00F03236" w:rsidP="00F03236">
      <w:pPr>
        <w:rPr>
          <w:rFonts w:asciiTheme="majorBidi" w:hAnsiTheme="majorBidi" w:cstheme="majorBidi"/>
          <w:b/>
          <w:bCs/>
          <w:lang w:val="en-US"/>
        </w:rPr>
      </w:pPr>
      <w:r w:rsidRPr="00DA0582">
        <w:rPr>
          <w:rFonts w:asciiTheme="majorBidi" w:hAnsiTheme="majorBidi" w:cstheme="majorBidi"/>
          <w:b/>
          <w:bCs/>
          <w:lang w:val="en-US"/>
        </w:rPr>
        <w:t>Abstract:</w:t>
      </w:r>
    </w:p>
    <w:p w:rsidR="00F03236" w:rsidRPr="003F1C25" w:rsidRDefault="00F03236" w:rsidP="00F03236">
      <w:pPr>
        <w:jc w:val="both"/>
        <w:rPr>
          <w:rFonts w:asciiTheme="majorBidi" w:hAnsiTheme="majorBidi" w:cstheme="majorBidi"/>
          <w:lang w:val="en-US"/>
        </w:rPr>
      </w:pPr>
      <w:r w:rsidRPr="003F1C25">
        <w:rPr>
          <w:rFonts w:asciiTheme="majorBidi" w:hAnsiTheme="majorBidi" w:cstheme="majorBidi"/>
          <w:lang w:val="en-US"/>
        </w:rPr>
        <w:t xml:space="preserve">This research study is divided into two parts; the first part investigates the batch ETL dye sorption by </w:t>
      </w:r>
      <w:proofErr w:type="spellStart"/>
      <w:r w:rsidRPr="003F1C25">
        <w:rPr>
          <w:rFonts w:asciiTheme="majorBidi" w:hAnsiTheme="majorBidi" w:cstheme="majorBidi"/>
          <w:lang w:val="en-US"/>
        </w:rPr>
        <w:t>Arundo</w:t>
      </w:r>
      <w:proofErr w:type="spellEnd"/>
      <w:r w:rsidRPr="003F1C25">
        <w:rPr>
          <w:rFonts w:asciiTheme="majorBidi" w:hAnsiTheme="majorBidi" w:cstheme="majorBidi"/>
          <w:lang w:val="en-US"/>
        </w:rPr>
        <w:t>-</w:t>
      </w:r>
      <w:proofErr w:type="spellStart"/>
      <w:r w:rsidRPr="003F1C25">
        <w:rPr>
          <w:rFonts w:asciiTheme="majorBidi" w:hAnsiTheme="majorBidi" w:cstheme="majorBidi"/>
          <w:lang w:val="en-US"/>
        </w:rPr>
        <w:t>donax</w:t>
      </w:r>
      <w:proofErr w:type="spellEnd"/>
      <w:r w:rsidRPr="003F1C25">
        <w:rPr>
          <w:rFonts w:asciiTheme="majorBidi" w:hAnsiTheme="majorBidi" w:cstheme="majorBidi"/>
          <w:lang w:val="en-US"/>
        </w:rPr>
        <w:t>.</w:t>
      </w:r>
      <w:r>
        <w:rPr>
          <w:rFonts w:asciiTheme="majorBidi" w:hAnsiTheme="majorBidi" w:cstheme="majorBidi"/>
          <w:lang w:val="en-US"/>
        </w:rPr>
        <w:t xml:space="preserve"> </w:t>
      </w:r>
      <w:r w:rsidRPr="003F1C25">
        <w:rPr>
          <w:rFonts w:asciiTheme="majorBidi" w:hAnsiTheme="majorBidi" w:cstheme="majorBidi"/>
          <w:lang w:val="en-US"/>
        </w:rPr>
        <w:t>The sorbent was synthesized and characterized by scanning electron microscope (SEM) and Fourier transform infrared spectroscopy (FTIR). The effects of pH, initial dye concentration, contact time and mass sorbent in the efficiency of ETL sorption were investigated. Furthermore, pseudo-first and second-order kinetic models were also used to analyze sorption kinetics. The equilibrium adsorption results were fitted by the Langmuir</w:t>
      </w:r>
      <w:r>
        <w:rPr>
          <w:rFonts w:asciiTheme="majorBidi" w:hAnsiTheme="majorBidi" w:cstheme="majorBidi"/>
          <w:lang w:val="en-US"/>
        </w:rPr>
        <w:t xml:space="preserve"> and </w:t>
      </w:r>
      <w:proofErr w:type="spellStart"/>
      <w:r w:rsidRPr="003F1C25">
        <w:rPr>
          <w:rFonts w:asciiTheme="majorBidi" w:hAnsiTheme="majorBidi" w:cstheme="majorBidi"/>
          <w:lang w:val="en-US"/>
        </w:rPr>
        <w:t>Freundlich</w:t>
      </w:r>
      <w:proofErr w:type="spellEnd"/>
      <w:r>
        <w:rPr>
          <w:rFonts w:asciiTheme="majorBidi" w:hAnsiTheme="majorBidi" w:cstheme="majorBidi"/>
          <w:lang w:val="en-US"/>
        </w:rPr>
        <w:t xml:space="preserve"> </w:t>
      </w:r>
      <w:r w:rsidRPr="003F1C25">
        <w:rPr>
          <w:rFonts w:asciiTheme="majorBidi" w:hAnsiTheme="majorBidi" w:cstheme="majorBidi"/>
          <w:lang w:val="en-US"/>
        </w:rPr>
        <w:t>isotherms.</w:t>
      </w:r>
      <w:r>
        <w:rPr>
          <w:rFonts w:asciiTheme="majorBidi" w:hAnsiTheme="majorBidi" w:cstheme="majorBidi"/>
          <w:lang w:val="en-US"/>
        </w:rPr>
        <w:t xml:space="preserve"> Maximum amount ETL removal 56.49 mg/g was observed at pH 2, sorbent </w:t>
      </w:r>
      <w:r w:rsidRPr="0000613F">
        <w:rPr>
          <w:rFonts w:asciiTheme="majorBidi" w:hAnsiTheme="majorBidi" w:cstheme="majorBidi"/>
          <w:lang w:val="en-US"/>
        </w:rPr>
        <w:t>weight</w:t>
      </w:r>
      <w:r>
        <w:rPr>
          <w:rFonts w:asciiTheme="majorBidi" w:hAnsiTheme="majorBidi" w:cstheme="majorBidi"/>
          <w:lang w:val="en-US"/>
        </w:rPr>
        <w:t xml:space="preserve"> 50mg and contact time 60min.</w:t>
      </w:r>
    </w:p>
    <w:p w:rsidR="00F03236" w:rsidRPr="003F1C25" w:rsidRDefault="00F03236" w:rsidP="00F03236">
      <w:pPr>
        <w:autoSpaceDE w:val="0"/>
        <w:autoSpaceDN w:val="0"/>
        <w:adjustRightInd w:val="0"/>
        <w:spacing w:after="0" w:line="240" w:lineRule="auto"/>
        <w:jc w:val="both"/>
        <w:rPr>
          <w:rFonts w:asciiTheme="majorBidi" w:hAnsiTheme="majorBidi" w:cstheme="majorBidi"/>
          <w:lang w:val="en-US"/>
        </w:rPr>
      </w:pPr>
      <w:r w:rsidRPr="003F1C25">
        <w:rPr>
          <w:rFonts w:asciiTheme="majorBidi" w:hAnsiTheme="majorBidi" w:cstheme="majorBidi"/>
          <w:lang w:val="en-US"/>
        </w:rPr>
        <w:t xml:space="preserve">In the second part the aim was to evaluate the impact of operating conditions in the efficiency of </w:t>
      </w:r>
      <w:proofErr w:type="spellStart"/>
      <w:r w:rsidRPr="003F1C25">
        <w:rPr>
          <w:rFonts w:asciiTheme="majorBidi" w:hAnsiTheme="majorBidi" w:cstheme="majorBidi"/>
          <w:lang w:val="en-US"/>
        </w:rPr>
        <w:t>Arundo</w:t>
      </w:r>
      <w:proofErr w:type="spellEnd"/>
      <w:r w:rsidRPr="003F1C25">
        <w:rPr>
          <w:rFonts w:asciiTheme="majorBidi" w:hAnsiTheme="majorBidi" w:cstheme="majorBidi"/>
          <w:lang w:val="en-US"/>
        </w:rPr>
        <w:t>-</w:t>
      </w:r>
      <w:proofErr w:type="spellStart"/>
      <w:r w:rsidRPr="003F1C25">
        <w:rPr>
          <w:rFonts w:asciiTheme="majorBidi" w:hAnsiTheme="majorBidi" w:cstheme="majorBidi"/>
          <w:lang w:val="en-US"/>
        </w:rPr>
        <w:t>donax</w:t>
      </w:r>
      <w:proofErr w:type="spellEnd"/>
      <w:r>
        <w:rPr>
          <w:rFonts w:asciiTheme="majorBidi" w:hAnsiTheme="majorBidi" w:cstheme="majorBidi"/>
          <w:lang w:val="en-US"/>
        </w:rPr>
        <w:t xml:space="preserve"> to remove </w:t>
      </w:r>
      <w:r w:rsidRPr="003F1C25">
        <w:rPr>
          <w:rFonts w:asciiTheme="majorBidi" w:hAnsiTheme="majorBidi" w:cstheme="majorBidi"/>
          <w:lang w:val="en-US"/>
        </w:rPr>
        <w:t>ETL dye. From the first part, three factors were chosen (initial solution concentration of ETL, pH solution and</w:t>
      </w:r>
      <w:r>
        <w:rPr>
          <w:rFonts w:asciiTheme="majorBidi" w:hAnsiTheme="majorBidi" w:cstheme="majorBidi"/>
          <w:lang w:val="en-US"/>
        </w:rPr>
        <w:t xml:space="preserve"> </w:t>
      </w:r>
      <w:proofErr w:type="spellStart"/>
      <w:r w:rsidRPr="003F1C25">
        <w:rPr>
          <w:rFonts w:asciiTheme="majorBidi" w:hAnsiTheme="majorBidi" w:cstheme="majorBidi"/>
          <w:lang w:val="en-US"/>
        </w:rPr>
        <w:t>Arundo</w:t>
      </w:r>
      <w:proofErr w:type="spellEnd"/>
      <w:r w:rsidRPr="003F1C25">
        <w:rPr>
          <w:rFonts w:asciiTheme="majorBidi" w:hAnsiTheme="majorBidi" w:cstheme="majorBidi"/>
          <w:lang w:val="en-US"/>
        </w:rPr>
        <w:t>-</w:t>
      </w:r>
      <w:proofErr w:type="spellStart"/>
      <w:r w:rsidRPr="003F1C25">
        <w:rPr>
          <w:rFonts w:asciiTheme="majorBidi" w:hAnsiTheme="majorBidi" w:cstheme="majorBidi"/>
          <w:lang w:val="en-US"/>
        </w:rPr>
        <w:t>donax</w:t>
      </w:r>
      <w:proofErr w:type="spellEnd"/>
      <w:r w:rsidRPr="003F1C25">
        <w:rPr>
          <w:rFonts w:asciiTheme="majorBidi" w:hAnsiTheme="majorBidi" w:cstheme="majorBidi"/>
          <w:lang w:val="en-US"/>
        </w:rPr>
        <w:t xml:space="preserve"> weight)</w:t>
      </w:r>
      <w:r>
        <w:rPr>
          <w:rFonts w:asciiTheme="majorBidi" w:hAnsiTheme="majorBidi" w:cstheme="majorBidi"/>
          <w:lang w:val="en-US"/>
        </w:rPr>
        <w:t xml:space="preserve">. These factors </w:t>
      </w:r>
      <w:r w:rsidRPr="003F1C25">
        <w:rPr>
          <w:rFonts w:asciiTheme="majorBidi" w:hAnsiTheme="majorBidi" w:cstheme="majorBidi"/>
          <w:lang w:val="en-US"/>
        </w:rPr>
        <w:t xml:space="preserve">were investigated using </w:t>
      </w:r>
      <w:r>
        <w:rPr>
          <w:rFonts w:asciiTheme="majorBidi" w:hAnsiTheme="majorBidi" w:cstheme="majorBidi"/>
          <w:lang w:val="en-US"/>
        </w:rPr>
        <w:t>three</w:t>
      </w:r>
      <w:r w:rsidRPr="003F1C25">
        <w:rPr>
          <w:rFonts w:asciiTheme="majorBidi" w:hAnsiTheme="majorBidi" w:cstheme="majorBidi"/>
          <w:lang w:val="en-US"/>
        </w:rPr>
        <w:t xml:space="preserve"> level box </w:t>
      </w:r>
      <w:proofErr w:type="spellStart"/>
      <w:r w:rsidRPr="003F1C25">
        <w:rPr>
          <w:rFonts w:asciiTheme="majorBidi" w:hAnsiTheme="majorBidi" w:cstheme="majorBidi"/>
          <w:lang w:val="en-US"/>
        </w:rPr>
        <w:t>behnken</w:t>
      </w:r>
      <w:proofErr w:type="spellEnd"/>
      <w:r>
        <w:rPr>
          <w:rFonts w:asciiTheme="majorBidi" w:hAnsiTheme="majorBidi" w:cstheme="majorBidi"/>
          <w:lang w:val="en-US"/>
        </w:rPr>
        <w:t xml:space="preserve"> </w:t>
      </w:r>
      <w:proofErr w:type="gramStart"/>
      <w:r w:rsidRPr="003F1C25">
        <w:rPr>
          <w:rFonts w:asciiTheme="majorBidi" w:hAnsiTheme="majorBidi" w:cstheme="majorBidi"/>
          <w:lang w:val="en-US"/>
        </w:rPr>
        <w:t>design</w:t>
      </w:r>
      <w:proofErr w:type="gramEnd"/>
      <w:r w:rsidRPr="003F1C25">
        <w:rPr>
          <w:rFonts w:asciiTheme="majorBidi" w:hAnsiTheme="majorBidi" w:cstheme="majorBidi"/>
          <w:lang w:val="en-US"/>
        </w:rPr>
        <w:t xml:space="preserve"> to optimize operating conditions. Analysis of variance (ANOVA) were using to testing the obtained linear model.</w:t>
      </w:r>
      <w:r>
        <w:rPr>
          <w:rFonts w:asciiTheme="majorBidi" w:hAnsiTheme="majorBidi" w:cstheme="majorBidi"/>
          <w:lang w:val="en-US"/>
        </w:rPr>
        <w:t xml:space="preserve"> The pH solution and initial dye concentration have an important effects compared to the effects of others factors.  Correlation coefficient R</w:t>
      </w:r>
      <w:r>
        <w:rPr>
          <w:rFonts w:asciiTheme="majorBidi" w:hAnsiTheme="majorBidi" w:cstheme="majorBidi"/>
          <w:vertAlign w:val="superscript"/>
          <w:lang w:val="en-US"/>
        </w:rPr>
        <w:t>2</w:t>
      </w:r>
      <w:r>
        <w:rPr>
          <w:rFonts w:asciiTheme="majorBidi" w:hAnsiTheme="majorBidi" w:cstheme="majorBidi"/>
          <w:lang w:val="en-US"/>
        </w:rPr>
        <w:t xml:space="preserve"> was found 0.99, which mean the accordance between the model and the experiment data. </w:t>
      </w:r>
    </w:p>
    <w:p w:rsidR="00F03236" w:rsidRDefault="00F03236" w:rsidP="00F03236">
      <w:pPr>
        <w:autoSpaceDE w:val="0"/>
        <w:autoSpaceDN w:val="0"/>
        <w:adjustRightInd w:val="0"/>
        <w:spacing w:after="0" w:line="240" w:lineRule="auto"/>
        <w:rPr>
          <w:rFonts w:cs="AdvGulliv-R"/>
          <w:lang w:val="en-US"/>
        </w:rPr>
      </w:pPr>
    </w:p>
    <w:p w:rsidR="00F03236" w:rsidRPr="003F1C25" w:rsidRDefault="00F03236" w:rsidP="00F03236">
      <w:pPr>
        <w:autoSpaceDE w:val="0"/>
        <w:autoSpaceDN w:val="0"/>
        <w:adjustRightInd w:val="0"/>
        <w:spacing w:after="0" w:line="240" w:lineRule="auto"/>
        <w:jc w:val="both"/>
        <w:rPr>
          <w:rFonts w:asciiTheme="majorBidi" w:hAnsiTheme="majorBidi" w:cstheme="majorBidi"/>
          <w:lang w:val="en-US"/>
        </w:rPr>
      </w:pPr>
      <w:r w:rsidRPr="003F1C25">
        <w:rPr>
          <w:rFonts w:asciiTheme="majorBidi" w:hAnsiTheme="majorBidi" w:cstheme="majorBidi"/>
          <w:b/>
          <w:bCs/>
          <w:lang w:val="en-US"/>
        </w:rPr>
        <w:t xml:space="preserve">Key words: </w:t>
      </w:r>
      <w:proofErr w:type="spellStart"/>
      <w:r w:rsidRPr="003F1C25">
        <w:rPr>
          <w:rFonts w:asciiTheme="majorBidi" w:hAnsiTheme="majorBidi" w:cstheme="majorBidi"/>
          <w:lang w:val="en-US"/>
        </w:rPr>
        <w:t>biosorption</w:t>
      </w:r>
      <w:proofErr w:type="spellEnd"/>
      <w:r w:rsidRPr="003F1C25">
        <w:rPr>
          <w:rFonts w:asciiTheme="majorBidi" w:hAnsiTheme="majorBidi" w:cstheme="majorBidi"/>
          <w:lang w:val="en-US"/>
        </w:rPr>
        <w:t xml:space="preserve">, optimization, box </w:t>
      </w:r>
      <w:proofErr w:type="spellStart"/>
      <w:r w:rsidRPr="003F1C25">
        <w:rPr>
          <w:rFonts w:asciiTheme="majorBidi" w:hAnsiTheme="majorBidi" w:cstheme="majorBidi"/>
          <w:lang w:val="en-US"/>
        </w:rPr>
        <w:t>behnken</w:t>
      </w:r>
      <w:proofErr w:type="spellEnd"/>
      <w:r w:rsidRPr="003F1C25">
        <w:rPr>
          <w:rFonts w:asciiTheme="majorBidi" w:hAnsiTheme="majorBidi" w:cstheme="majorBidi"/>
          <w:lang w:val="en-US"/>
        </w:rPr>
        <w:t>, isotherm…</w:t>
      </w:r>
    </w:p>
    <w:p w:rsidR="00F03236" w:rsidRPr="00F03236" w:rsidRDefault="00F03236" w:rsidP="00F03236">
      <w:pPr>
        <w:rPr>
          <w:lang w:val="en-US"/>
        </w:rPr>
      </w:pPr>
    </w:p>
    <w:sectPr w:rsidR="00F03236" w:rsidRPr="00F03236" w:rsidSect="002D18C9">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AdvGulliv-R">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hyphenationZone w:val="425"/>
  <w:characterSpacingControl w:val="doNotCompress"/>
  <w:compat/>
  <w:rsids>
    <w:rsidRoot w:val="00F03236"/>
    <w:rsid w:val="00234BCE"/>
    <w:rsid w:val="002D18C9"/>
    <w:rsid w:val="00780F4F"/>
    <w:rsid w:val="00A004CC"/>
    <w:rsid w:val="00B01003"/>
    <w:rsid w:val="00F03236"/>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3236"/>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hps">
    <w:name w:val="hps"/>
    <w:basedOn w:val="Policepardfaut"/>
    <w:rsid w:val="00F03236"/>
  </w:style>
  <w:style w:type="paragraph" w:styleId="Sansinterligne">
    <w:name w:val="No Spacing"/>
    <w:uiPriority w:val="1"/>
    <w:qFormat/>
    <w:rsid w:val="00F03236"/>
    <w:pPr>
      <w:spacing w:after="0" w:line="240" w:lineRule="auto"/>
    </w:pPr>
  </w:style>
  <w:style w:type="character" w:styleId="Lienhypertexte">
    <w:name w:val="Hyperlink"/>
    <w:basedOn w:val="Policepardfaut"/>
    <w:uiPriority w:val="99"/>
    <w:unhideWhenUsed/>
    <w:rsid w:val="00F032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Ouazanifouzia@yahoo.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285</Words>
  <Characters>1572</Characters>
  <Application>Microsoft Office Word</Application>
  <DocSecurity>0</DocSecurity>
  <Lines>13</Lines>
  <Paragraphs>3</Paragraphs>
  <ScaleCrop>false</ScaleCrop>
  <Company/>
  <LinksUpToDate>false</LinksUpToDate>
  <CharactersWithSpaces>1854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2018-01-27T15:08:00Z</dcterms:created>
  <dcterms:modified xsi:type="dcterms:W3CDTF">2018-01-27T15:10:00Z</dcterms:modified>
</cp:coreProperties>
</file>