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33A" w:rsidRPr="00F20387" w:rsidRDefault="00E37BD1" w:rsidP="005B7D07">
      <w:pPr>
        <w:rPr>
          <w:b/>
          <w:iCs/>
          <w:color w:val="333333"/>
          <w:shd w:val="clear" w:color="auto" w:fill="FFFFFF"/>
        </w:rPr>
      </w:pPr>
      <w:r w:rsidRPr="00F20387">
        <w:rPr>
          <w:b/>
          <w:iCs/>
          <w:color w:val="333333"/>
          <w:shd w:val="clear" w:color="auto" w:fill="FFFFFF"/>
        </w:rPr>
        <w:t xml:space="preserve">Title: </w:t>
      </w:r>
      <w:r w:rsidR="004379E9" w:rsidRPr="00F20387">
        <w:rPr>
          <w:b/>
          <w:iCs/>
          <w:color w:val="333333"/>
          <w:shd w:val="clear" w:color="auto" w:fill="FFFFFF"/>
        </w:rPr>
        <w:t>Mapping</w:t>
      </w:r>
      <w:r w:rsidR="00340641" w:rsidRPr="00F20387">
        <w:rPr>
          <w:b/>
          <w:iCs/>
          <w:color w:val="333333"/>
          <w:shd w:val="clear" w:color="auto" w:fill="FFFFFF"/>
        </w:rPr>
        <w:t xml:space="preserve"> the Active Site of </w:t>
      </w:r>
      <w:r w:rsidR="004379E9" w:rsidRPr="00F20387">
        <w:rPr>
          <w:b/>
          <w:iCs/>
          <w:color w:val="333333"/>
          <w:shd w:val="clear" w:color="auto" w:fill="FFFFFF"/>
        </w:rPr>
        <w:t>epsi</w:t>
      </w:r>
      <w:r w:rsidR="00F20387" w:rsidRPr="00F20387">
        <w:rPr>
          <w:b/>
          <w:iCs/>
          <w:color w:val="333333"/>
          <w:shd w:val="clear" w:color="auto" w:fill="FFFFFF"/>
        </w:rPr>
        <w:t>l</w:t>
      </w:r>
      <w:r w:rsidR="004379E9" w:rsidRPr="00F20387">
        <w:rPr>
          <w:b/>
          <w:iCs/>
          <w:color w:val="333333"/>
          <w:shd w:val="clear" w:color="auto" w:fill="FFFFFF"/>
        </w:rPr>
        <w:t>on</w:t>
      </w:r>
      <w:r w:rsidR="00340641" w:rsidRPr="00F20387">
        <w:rPr>
          <w:b/>
          <w:iCs/>
          <w:color w:val="333333"/>
          <w:shd w:val="clear" w:color="auto" w:fill="FFFFFF"/>
        </w:rPr>
        <w:t>-Trimethyllysine Hydroxylase</w:t>
      </w:r>
    </w:p>
    <w:p w:rsidR="00E37BD1" w:rsidRPr="00F20387" w:rsidRDefault="00E37BD1" w:rsidP="005B7D07">
      <w:pPr>
        <w:rPr>
          <w:iCs/>
          <w:color w:val="333333"/>
          <w:shd w:val="clear" w:color="auto" w:fill="FFFFFF"/>
        </w:rPr>
      </w:pPr>
      <w:r w:rsidRPr="00F20387">
        <w:rPr>
          <w:iCs/>
          <w:color w:val="333333"/>
          <w:shd w:val="clear" w:color="auto" w:fill="FFFFFF"/>
        </w:rPr>
        <w:t xml:space="preserve">Name: </w:t>
      </w:r>
      <w:r w:rsidR="00F06EF8" w:rsidRPr="00F20387">
        <w:t>Zelencova D</w:t>
      </w:r>
    </w:p>
    <w:p w:rsidR="00E37BD1" w:rsidRPr="00F20387" w:rsidRDefault="00E37BD1" w:rsidP="005B7D07">
      <w:pPr>
        <w:rPr>
          <w:i/>
          <w:iCs/>
          <w:color w:val="333333"/>
          <w:shd w:val="clear" w:color="auto" w:fill="FFFFFF"/>
        </w:rPr>
      </w:pPr>
      <w:r w:rsidRPr="00F20387">
        <w:rPr>
          <w:iCs/>
          <w:color w:val="333333"/>
          <w:shd w:val="clear" w:color="auto" w:fill="FFFFFF"/>
        </w:rPr>
        <w:t xml:space="preserve">Affiliation: </w:t>
      </w:r>
      <w:r w:rsidR="00AD06C6" w:rsidRPr="00F20387">
        <w:rPr>
          <w:iCs/>
          <w:color w:val="333333"/>
          <w:shd w:val="clear" w:color="auto" w:fill="FFFFFF"/>
        </w:rPr>
        <w:t xml:space="preserve">Latvian Institute of Organic Synthesis, </w:t>
      </w:r>
      <w:r w:rsidR="00AD06C6" w:rsidRPr="00F20387">
        <w:rPr>
          <w:i/>
          <w:iCs/>
          <w:color w:val="333333"/>
          <w:shd w:val="clear" w:color="auto" w:fill="FFFFFF"/>
        </w:rPr>
        <w:t>Latvia</w:t>
      </w:r>
    </w:p>
    <w:p w:rsidR="001F1383" w:rsidRPr="00F20387" w:rsidRDefault="00AD06C6" w:rsidP="005B7D07">
      <w:pPr>
        <w:rPr>
          <w:iCs/>
          <w:color w:val="333333"/>
          <w:shd w:val="clear" w:color="auto" w:fill="FFFFFF"/>
        </w:rPr>
      </w:pPr>
      <w:r w:rsidRPr="00F20387">
        <w:rPr>
          <w:i/>
          <w:iCs/>
          <w:color w:val="333333"/>
          <w:shd w:val="clear" w:color="auto" w:fill="FFFFFF"/>
        </w:rPr>
        <w:t>Liepinsh E</w:t>
      </w:r>
    </w:p>
    <w:p w:rsidR="001F1383" w:rsidRPr="00F20387" w:rsidRDefault="001F1383" w:rsidP="005B7D07"/>
    <w:p w:rsidR="00E37BD1" w:rsidRPr="00F20387" w:rsidRDefault="00E37BD1" w:rsidP="005B7D07">
      <w:pPr>
        <w:rPr>
          <w:b/>
        </w:rPr>
      </w:pPr>
      <w:r w:rsidRPr="00F20387">
        <w:rPr>
          <w:b/>
        </w:rPr>
        <w:t>Abstract</w:t>
      </w:r>
      <w:r w:rsidR="009215E3" w:rsidRPr="00F20387">
        <w:rPr>
          <w:b/>
        </w:rPr>
        <w:t xml:space="preserve"> (upto 300 words)</w:t>
      </w:r>
    </w:p>
    <w:p w:rsidR="0092551C" w:rsidRPr="00F20387" w:rsidRDefault="0092551C" w:rsidP="005B7D07">
      <w:pPr>
        <w:jc w:val="both"/>
        <w:rPr>
          <w:rFonts w:eastAsia="MS PGothic"/>
          <w:color w:val="000000"/>
        </w:rPr>
      </w:pPr>
      <w:r w:rsidRPr="00F20387">
        <w:rPr>
          <w:rFonts w:eastAsia="MS PGothic"/>
          <w:color w:val="000000"/>
        </w:rPr>
        <w:t>ε</w:t>
      </w:r>
      <w:r w:rsidR="004379E9" w:rsidRPr="00F20387">
        <w:rPr>
          <w:rFonts w:eastAsia="MS PGothic"/>
          <w:color w:val="000000"/>
        </w:rPr>
        <w:t>-</w:t>
      </w:r>
      <w:r w:rsidRPr="00F20387">
        <w:rPr>
          <w:rFonts w:eastAsia="MS PGothic"/>
          <w:color w:val="000000"/>
        </w:rPr>
        <w:t>T</w:t>
      </w:r>
      <w:r w:rsidR="004379E9" w:rsidRPr="00F20387">
        <w:rPr>
          <w:rFonts w:eastAsia="MS PGothic"/>
          <w:color w:val="000000"/>
        </w:rPr>
        <w:t xml:space="preserve">rimethyllysine hydroxylase (TMLH) is a non-heme Fe(II) and 2-oxoglutarate (2OG) dependent dioxygenase </w:t>
      </w:r>
      <w:r w:rsidRPr="00F20387">
        <w:rPr>
          <w:rFonts w:eastAsia="MS PGothic"/>
          <w:color w:val="000000"/>
        </w:rPr>
        <w:t xml:space="preserve">located in the </w:t>
      </w:r>
      <w:r w:rsidR="00050053">
        <w:rPr>
          <w:rFonts w:eastAsia="MS PGothic"/>
          <w:color w:val="000000"/>
        </w:rPr>
        <w:t>sub</w:t>
      </w:r>
      <w:r w:rsidRPr="00F20387">
        <w:rPr>
          <w:rFonts w:eastAsia="MS PGothic"/>
          <w:color w:val="000000"/>
        </w:rPr>
        <w:t>mitochondrial matrix.</w:t>
      </w:r>
      <w:r w:rsidR="004379E9" w:rsidRPr="00F20387">
        <w:rPr>
          <w:rFonts w:eastAsia="MS PGothic"/>
          <w:color w:val="000000"/>
        </w:rPr>
        <w:t xml:space="preserve"> This enzyme is cru</w:t>
      </w:r>
      <w:r w:rsidRPr="00F20387">
        <w:rPr>
          <w:rFonts w:eastAsia="MS PGothic"/>
          <w:color w:val="000000"/>
        </w:rPr>
        <w:t xml:space="preserve">cial for </w:t>
      </w:r>
      <w:r w:rsidR="00050053">
        <w:rPr>
          <w:rFonts w:eastAsia="MS PGothic"/>
          <w:color w:val="000000"/>
        </w:rPr>
        <w:t xml:space="preserve">the </w:t>
      </w:r>
      <w:r w:rsidRPr="00F20387">
        <w:rPr>
          <w:rFonts w:eastAsia="MS PGothic"/>
          <w:color w:val="000000"/>
        </w:rPr>
        <w:t xml:space="preserve">stereospecific oxidation of </w:t>
      </w:r>
      <w:r w:rsidRPr="00F20387">
        <w:t xml:space="preserve">ε-trimethyllysine (TML) to β-hydroxytrimethyllysine (HTML) – the first step in the biosynthesis of </w:t>
      </w:r>
      <w:r w:rsidRPr="00F20387">
        <w:rPr>
          <w:rFonts w:eastAsia="MS PGothic"/>
          <w:i/>
          <w:smallCaps/>
          <w:color w:val="000000"/>
        </w:rPr>
        <w:t>l</w:t>
      </w:r>
      <w:r w:rsidRPr="00F20387">
        <w:rPr>
          <w:rFonts w:eastAsia="MS PGothic"/>
          <w:color w:val="000000"/>
        </w:rPr>
        <w:t>-carnitine</w:t>
      </w:r>
      <w:r w:rsidRPr="00F20387">
        <w:t>. It is proposed that</w:t>
      </w:r>
      <w:r w:rsidR="00050053">
        <w:t xml:space="preserve"> the</w:t>
      </w:r>
      <w:r w:rsidRPr="00F20387">
        <w:t xml:space="preserve"> regulation of enzymatic activity of TMLH may have more potent cardioprotective effect than </w:t>
      </w:r>
      <w:r w:rsidRPr="00F20387">
        <w:rPr>
          <w:i/>
        </w:rPr>
        <w:t>meldonium</w:t>
      </w:r>
      <w:r w:rsidRPr="00F20387">
        <w:t xml:space="preserve"> (clinically used anti-ischemia drug) that is an inhibitor of </w:t>
      </w:r>
      <w:r w:rsidRPr="00F20387">
        <w:rPr>
          <w:rFonts w:eastAsia="MS PGothic"/>
          <w:color w:val="000000"/>
        </w:rPr>
        <w:t xml:space="preserve">γ-butyrobetaine hydroxylase (GBBH) – the final </w:t>
      </w:r>
      <w:r w:rsidR="00F7460C" w:rsidRPr="00F20387">
        <w:rPr>
          <w:rFonts w:eastAsia="MS PGothic"/>
          <w:color w:val="000000"/>
        </w:rPr>
        <w:t>step</w:t>
      </w:r>
      <w:r w:rsidRPr="00F20387">
        <w:rPr>
          <w:rFonts w:eastAsia="MS PGothic"/>
          <w:color w:val="000000"/>
        </w:rPr>
        <w:t xml:space="preserve"> of</w:t>
      </w:r>
      <w:r w:rsidR="00050053">
        <w:rPr>
          <w:rFonts w:eastAsia="MS PGothic"/>
          <w:color w:val="000000"/>
        </w:rPr>
        <w:t xml:space="preserve"> the</w:t>
      </w:r>
      <w:r w:rsidRPr="00F20387">
        <w:rPr>
          <w:rFonts w:eastAsia="MS PGothic"/>
          <w:color w:val="000000"/>
        </w:rPr>
        <w:t xml:space="preserve"> </w:t>
      </w:r>
      <w:r w:rsidRPr="00F20387">
        <w:rPr>
          <w:rFonts w:eastAsia="MS PGothic"/>
          <w:i/>
          <w:smallCaps/>
          <w:color w:val="000000"/>
        </w:rPr>
        <w:t>l</w:t>
      </w:r>
      <w:r w:rsidRPr="00F20387">
        <w:rPr>
          <w:rFonts w:eastAsia="MS PGothic"/>
          <w:color w:val="000000"/>
        </w:rPr>
        <w:t xml:space="preserve">-carnitine production. Due to failure of </w:t>
      </w:r>
      <w:r w:rsidR="00050053">
        <w:rPr>
          <w:rFonts w:eastAsia="MS PGothic"/>
          <w:color w:val="000000"/>
        </w:rPr>
        <w:t xml:space="preserve">the </w:t>
      </w:r>
      <w:r w:rsidRPr="00F20387">
        <w:rPr>
          <w:rFonts w:eastAsia="MS PGothic"/>
          <w:color w:val="000000"/>
        </w:rPr>
        <w:t xml:space="preserve">crystallographic methods there </w:t>
      </w:r>
      <w:r w:rsidR="00F7460C" w:rsidRPr="00F20387">
        <w:rPr>
          <w:rFonts w:eastAsia="MS PGothic"/>
          <w:color w:val="000000"/>
        </w:rPr>
        <w:t xml:space="preserve">is </w:t>
      </w:r>
      <w:r w:rsidRPr="00F20387">
        <w:rPr>
          <w:rFonts w:eastAsia="MS PGothic"/>
          <w:color w:val="000000"/>
        </w:rPr>
        <w:t xml:space="preserve">still lack of information about the structure of the TMLH and especially about </w:t>
      </w:r>
      <w:r w:rsidR="00050053" w:rsidRPr="00F20387">
        <w:rPr>
          <w:rFonts w:eastAsia="MS PGothic"/>
          <w:color w:val="000000"/>
        </w:rPr>
        <w:t>its</w:t>
      </w:r>
      <w:r w:rsidRPr="00F20387">
        <w:rPr>
          <w:rFonts w:eastAsia="MS PGothic"/>
          <w:color w:val="000000"/>
        </w:rPr>
        <w:t xml:space="preserve"> active site. In this work we applied </w:t>
      </w:r>
      <w:r w:rsidRPr="00F20387">
        <w:rPr>
          <w:rFonts w:eastAsia="MS PGothic"/>
          <w:i/>
          <w:color w:val="000000"/>
        </w:rPr>
        <w:t>in silico</w:t>
      </w:r>
      <w:r w:rsidRPr="00F20387">
        <w:rPr>
          <w:rFonts w:eastAsia="MS PGothic"/>
          <w:color w:val="000000"/>
        </w:rPr>
        <w:t xml:space="preserve"> and </w:t>
      </w:r>
      <w:r w:rsidRPr="00F20387">
        <w:rPr>
          <w:rFonts w:eastAsia="MS PGothic"/>
          <w:i/>
          <w:color w:val="000000"/>
        </w:rPr>
        <w:t>in vitro</w:t>
      </w:r>
      <w:r w:rsidRPr="00F20387">
        <w:rPr>
          <w:rFonts w:eastAsia="MS PGothic"/>
          <w:color w:val="000000"/>
        </w:rPr>
        <w:t xml:space="preserve"> methods to</w:t>
      </w:r>
      <w:r w:rsidR="00971E48" w:rsidRPr="00F20387">
        <w:rPr>
          <w:rFonts w:eastAsia="MS PGothic"/>
          <w:color w:val="000000"/>
        </w:rPr>
        <w:t xml:space="preserve"> design the possible active site of TMLH. </w:t>
      </w:r>
      <w:r w:rsidR="005A28CF" w:rsidRPr="00F20387">
        <w:rPr>
          <w:rFonts w:eastAsia="MS PGothic"/>
          <w:color w:val="000000"/>
        </w:rPr>
        <w:t xml:space="preserve">The structure of the TMLH was modelled using homology modelling approach based on the closest homolog – GBBH (used as template). However, the overall similarity between both enzymes was </w:t>
      </w:r>
      <w:r w:rsidR="00050053">
        <w:rPr>
          <w:rFonts w:eastAsia="MS PGothic"/>
          <w:color w:val="000000"/>
        </w:rPr>
        <w:t xml:space="preserve">slightly </w:t>
      </w:r>
      <w:r w:rsidR="005A28CF" w:rsidRPr="00F20387">
        <w:rPr>
          <w:rFonts w:eastAsia="MS PGothic"/>
          <w:color w:val="000000"/>
        </w:rPr>
        <w:t xml:space="preserve">below 30%. Thus, various modelling software were </w:t>
      </w:r>
      <w:r w:rsidR="00180F30" w:rsidRPr="00F20387">
        <w:rPr>
          <w:rFonts w:eastAsia="MS PGothic"/>
          <w:color w:val="000000"/>
        </w:rPr>
        <w:t>tested,</w:t>
      </w:r>
      <w:r w:rsidR="005A28CF" w:rsidRPr="00F20387">
        <w:rPr>
          <w:rFonts w:eastAsia="MS PGothic"/>
          <w:color w:val="000000"/>
        </w:rPr>
        <w:t xml:space="preserve"> and </w:t>
      </w:r>
      <w:r w:rsidR="00050053">
        <w:rPr>
          <w:rFonts w:eastAsia="MS PGothic"/>
          <w:color w:val="000000"/>
        </w:rPr>
        <w:t xml:space="preserve">the </w:t>
      </w:r>
      <w:r w:rsidR="005A28CF" w:rsidRPr="00F20387">
        <w:rPr>
          <w:rFonts w:eastAsia="MS PGothic"/>
          <w:color w:val="000000"/>
        </w:rPr>
        <w:t xml:space="preserve">resulting structures were optimized </w:t>
      </w:r>
      <w:r w:rsidR="00050053">
        <w:rPr>
          <w:rFonts w:eastAsia="MS PGothic"/>
          <w:color w:val="000000"/>
        </w:rPr>
        <w:t>during</w:t>
      </w:r>
      <w:r w:rsidR="005A28CF" w:rsidRPr="00F20387">
        <w:rPr>
          <w:rFonts w:eastAsia="MS PGothic"/>
          <w:color w:val="000000"/>
        </w:rPr>
        <w:t xml:space="preserve"> </w:t>
      </w:r>
      <w:bookmarkStart w:id="0" w:name="_GoBack"/>
      <w:bookmarkEnd w:id="0"/>
      <w:r w:rsidR="005A28CF" w:rsidRPr="00F20387">
        <w:rPr>
          <w:rFonts w:eastAsia="MS PGothic"/>
          <w:color w:val="000000"/>
        </w:rPr>
        <w:t>molecul</w:t>
      </w:r>
      <w:r w:rsidR="00971E48" w:rsidRPr="00F20387">
        <w:rPr>
          <w:rFonts w:eastAsia="MS PGothic"/>
          <w:color w:val="000000"/>
        </w:rPr>
        <w:t>ar dynamics</w:t>
      </w:r>
      <w:r w:rsidR="005A28CF" w:rsidRPr="00F20387">
        <w:rPr>
          <w:rFonts w:eastAsia="MS PGothic"/>
          <w:color w:val="000000"/>
        </w:rPr>
        <w:t xml:space="preserve"> simulations. This approach </w:t>
      </w:r>
      <w:r w:rsidR="00971E48" w:rsidRPr="00F20387">
        <w:rPr>
          <w:rFonts w:eastAsia="MS PGothic"/>
          <w:color w:val="000000"/>
        </w:rPr>
        <w:t xml:space="preserve">gave </w:t>
      </w:r>
      <w:r w:rsidR="005A28CF" w:rsidRPr="00F20387">
        <w:rPr>
          <w:rFonts w:eastAsia="MS PGothic"/>
          <w:color w:val="000000"/>
        </w:rPr>
        <w:t xml:space="preserve">the </w:t>
      </w:r>
      <w:r w:rsidR="00971E48" w:rsidRPr="00F20387">
        <w:rPr>
          <w:rFonts w:eastAsia="MS PGothic"/>
          <w:color w:val="000000"/>
        </w:rPr>
        <w:t xml:space="preserve">insights into possible </w:t>
      </w:r>
      <w:r w:rsidR="00503F6E" w:rsidRPr="00F20387">
        <w:rPr>
          <w:rFonts w:eastAsia="MS PGothic"/>
          <w:color w:val="000000"/>
        </w:rPr>
        <w:t xml:space="preserve">enzyme </w:t>
      </w:r>
      <w:r w:rsidR="00971E48" w:rsidRPr="00F20387">
        <w:rPr>
          <w:rFonts w:eastAsia="MS PGothic"/>
          <w:color w:val="000000"/>
        </w:rPr>
        <w:t xml:space="preserve">fold. </w:t>
      </w:r>
      <w:r w:rsidR="005A28CF" w:rsidRPr="00F20387">
        <w:rPr>
          <w:rFonts w:eastAsia="MS PGothic"/>
          <w:color w:val="000000"/>
        </w:rPr>
        <w:t>Next, t</w:t>
      </w:r>
      <w:r w:rsidR="00971E48" w:rsidRPr="00F20387">
        <w:rPr>
          <w:rFonts w:eastAsia="MS PGothic"/>
          <w:color w:val="000000"/>
        </w:rPr>
        <w:t>he NMR protein-ligand binding experiments</w:t>
      </w:r>
      <w:r w:rsidR="005A28CF" w:rsidRPr="00F20387">
        <w:rPr>
          <w:rFonts w:eastAsia="MS PGothic"/>
          <w:color w:val="000000"/>
        </w:rPr>
        <w:t xml:space="preserve"> (T</w:t>
      </w:r>
      <w:r w:rsidR="005A28CF" w:rsidRPr="00F20387">
        <w:rPr>
          <w:rFonts w:eastAsia="MS PGothic"/>
          <w:color w:val="000000"/>
          <w:vertAlign w:val="subscript"/>
        </w:rPr>
        <w:t>1ρ</w:t>
      </w:r>
      <w:r w:rsidR="005A28CF" w:rsidRPr="00F20387">
        <w:rPr>
          <w:rFonts w:eastAsia="MS PGothic"/>
          <w:color w:val="000000"/>
        </w:rPr>
        <w:t>, waterLOGSY and ST1D)</w:t>
      </w:r>
      <w:r w:rsidR="00971E48" w:rsidRPr="00F20387">
        <w:rPr>
          <w:rFonts w:eastAsia="MS PGothic"/>
          <w:color w:val="000000"/>
        </w:rPr>
        <w:t xml:space="preserve"> and </w:t>
      </w:r>
      <w:r w:rsidR="00050053">
        <w:rPr>
          <w:rFonts w:eastAsia="MS PGothic"/>
          <w:color w:val="000000"/>
        </w:rPr>
        <w:t xml:space="preserve">the </w:t>
      </w:r>
      <w:r w:rsidR="00971E48" w:rsidRPr="00F20387">
        <w:rPr>
          <w:rFonts w:eastAsia="MS PGothic"/>
          <w:color w:val="000000"/>
        </w:rPr>
        <w:t xml:space="preserve">enzymatic </w:t>
      </w:r>
      <w:r w:rsidR="005A28CF" w:rsidRPr="00F20387">
        <w:rPr>
          <w:rFonts w:eastAsia="MS PGothic"/>
          <w:color w:val="000000"/>
        </w:rPr>
        <w:t>assay (</w:t>
      </w:r>
      <w:r w:rsidR="00050053">
        <w:rPr>
          <w:rFonts w:eastAsia="MS PGothic"/>
          <w:color w:val="000000"/>
        </w:rPr>
        <w:t xml:space="preserve">reaction </w:t>
      </w:r>
      <w:r w:rsidR="005A28CF" w:rsidRPr="00F20387">
        <w:rPr>
          <w:rFonts w:eastAsia="MS PGothic"/>
          <w:color w:val="000000"/>
        </w:rPr>
        <w:t xml:space="preserve">monitored by 1D </w:t>
      </w:r>
      <w:r w:rsidR="005A28CF" w:rsidRPr="00F20387">
        <w:rPr>
          <w:rFonts w:eastAsia="MS PGothic"/>
          <w:color w:val="000000"/>
          <w:vertAlign w:val="superscript"/>
        </w:rPr>
        <w:t>1</w:t>
      </w:r>
      <w:r w:rsidR="005A28CF" w:rsidRPr="00F20387">
        <w:rPr>
          <w:rFonts w:eastAsia="MS PGothic"/>
          <w:color w:val="000000"/>
        </w:rPr>
        <w:t>H-NMR)</w:t>
      </w:r>
      <w:r w:rsidR="00971E48" w:rsidRPr="00F20387">
        <w:rPr>
          <w:rFonts w:eastAsia="MS PGothic"/>
          <w:color w:val="000000"/>
        </w:rPr>
        <w:t xml:space="preserve"> revealed some crucial structure-activity relationships (SAR) that in combination with molecular docking</w:t>
      </w:r>
      <w:r w:rsidR="005A28CF" w:rsidRPr="00F20387">
        <w:rPr>
          <w:rFonts w:eastAsia="MS PGothic"/>
          <w:color w:val="000000"/>
        </w:rPr>
        <w:t xml:space="preserve"> </w:t>
      </w:r>
      <w:r w:rsidR="00971E48" w:rsidRPr="00F20387">
        <w:rPr>
          <w:rFonts w:eastAsia="MS PGothic"/>
          <w:color w:val="000000"/>
        </w:rPr>
        <w:t xml:space="preserve">and previous </w:t>
      </w:r>
      <w:r w:rsidR="00971E48" w:rsidRPr="00F20387">
        <w:rPr>
          <w:rFonts w:eastAsia="MS PGothic"/>
          <w:i/>
          <w:color w:val="000000"/>
        </w:rPr>
        <w:t xml:space="preserve">in silico </w:t>
      </w:r>
      <w:r w:rsidR="00971E48" w:rsidRPr="00F20387">
        <w:rPr>
          <w:rFonts w:eastAsia="MS PGothic"/>
          <w:color w:val="000000"/>
        </w:rPr>
        <w:t xml:space="preserve">data allowed to construct estimated active site of </w:t>
      </w:r>
      <w:r w:rsidR="00552E98" w:rsidRPr="00F20387">
        <w:rPr>
          <w:rFonts w:eastAsia="MS PGothic"/>
          <w:color w:val="000000"/>
        </w:rPr>
        <w:t>TMLH</w:t>
      </w:r>
      <w:r w:rsidR="00971E48" w:rsidRPr="00F20387">
        <w:rPr>
          <w:rFonts w:eastAsia="MS PGothic"/>
          <w:color w:val="000000"/>
        </w:rPr>
        <w:t>.</w:t>
      </w:r>
    </w:p>
    <w:p w:rsidR="00E37BD1" w:rsidRPr="00F20387" w:rsidRDefault="00E37BD1" w:rsidP="005B7D07"/>
    <w:p w:rsidR="00CE6677" w:rsidRPr="00F20387" w:rsidRDefault="00B8710A" w:rsidP="005B7D07">
      <w:pPr>
        <w:rPr>
          <w:b/>
        </w:rPr>
      </w:pPr>
      <w:r w:rsidRPr="00F20387">
        <w:rPr>
          <w:b/>
        </w:rPr>
        <w:t>Biography</w:t>
      </w:r>
      <w:r w:rsidR="009215E3" w:rsidRPr="00F20387">
        <w:rPr>
          <w:b/>
        </w:rPr>
        <w:t xml:space="preserve"> (upto 150 words)</w:t>
      </w:r>
    </w:p>
    <w:p w:rsidR="00FE5AD8" w:rsidRPr="00F20387" w:rsidRDefault="00971229" w:rsidP="005B7D07">
      <w:pPr>
        <w:jc w:val="both"/>
      </w:pPr>
      <w:r w:rsidRPr="00F20387">
        <w:t>Z</w:t>
      </w:r>
      <w:r w:rsidR="00FE5AD8" w:rsidRPr="00F20387">
        <w:t>elencova D</w:t>
      </w:r>
      <w:r w:rsidR="00B97C76">
        <w:t>iana</w:t>
      </w:r>
      <w:r w:rsidR="00FE5AD8" w:rsidRPr="00F20387">
        <w:t xml:space="preserve"> is a third year </w:t>
      </w:r>
      <w:r w:rsidR="00A50C1E" w:rsidRPr="00F20387">
        <w:t>PhD</w:t>
      </w:r>
      <w:r w:rsidR="00E37BD1" w:rsidRPr="00F20387">
        <w:t xml:space="preserve"> </w:t>
      </w:r>
      <w:r w:rsidR="00FE5AD8" w:rsidRPr="00F20387">
        <w:t>student at Riga Technical University, Latvia</w:t>
      </w:r>
      <w:r w:rsidR="00D841B1" w:rsidRPr="00F20387">
        <w:t>.</w:t>
      </w:r>
      <w:r w:rsidR="00B17C38" w:rsidRPr="00F20387">
        <w:t xml:space="preserve"> </w:t>
      </w:r>
      <w:r w:rsidR="00FE5AD8" w:rsidRPr="00F20387">
        <w:t>S</w:t>
      </w:r>
      <w:r w:rsidR="005B7D07" w:rsidRPr="00F20387">
        <w:t>he is the</w:t>
      </w:r>
      <w:r w:rsidR="00FE5AD8" w:rsidRPr="00F20387">
        <w:t xml:space="preserve"> research assistant at the Latvian Institute of Organic Synthesis: NMR group.</w:t>
      </w:r>
    </w:p>
    <w:p w:rsidR="007D233A" w:rsidRPr="00F20387" w:rsidRDefault="007D233A" w:rsidP="005B7D07"/>
    <w:p w:rsidR="005B7D07" w:rsidRPr="00F20387" w:rsidRDefault="000F6C4B" w:rsidP="005B7D07">
      <w:pPr>
        <w:jc w:val="right"/>
      </w:pPr>
      <w:r w:rsidRPr="00F20387">
        <w:t xml:space="preserve">Email ID: </w:t>
      </w:r>
      <w:r w:rsidR="00587049" w:rsidRPr="00F20387">
        <w:t>zelencova@osi.lv</w:t>
      </w:r>
    </w:p>
    <w:p w:rsidR="007D233A" w:rsidRPr="00F20387" w:rsidRDefault="007D233A" w:rsidP="005B7D07"/>
    <w:p w:rsidR="005B7D07" w:rsidRPr="00F20387" w:rsidRDefault="005B7D07" w:rsidP="005B7D07">
      <w:r w:rsidRPr="00F20387">
        <w:t xml:space="preserve">Presenter Name: </w:t>
      </w:r>
      <w:r w:rsidR="00587049" w:rsidRPr="00F20387">
        <w:t>Zelencova D</w:t>
      </w:r>
      <w:r w:rsidR="00B057F9" w:rsidRPr="00F20387">
        <w:t>.</w:t>
      </w:r>
    </w:p>
    <w:p w:rsidR="006758A2" w:rsidRPr="00F20387" w:rsidRDefault="005B7D07" w:rsidP="005B7D07">
      <w:r w:rsidRPr="00F20387">
        <w:t xml:space="preserve">Type of Presentation: </w:t>
      </w:r>
      <w:r w:rsidR="00587049" w:rsidRPr="00F20387">
        <w:t>Poster</w:t>
      </w:r>
    </w:p>
    <w:p w:rsidR="000F6C4B" w:rsidRPr="00F20387" w:rsidRDefault="0023795B" w:rsidP="005B7D07">
      <w:r w:rsidRPr="00F2038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077291"/>
                                  <wp:effectExtent l="0" t="0" r="317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077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B6B2907" wp14:editId="3911D1E7">
                            <wp:extent cx="2149475" cy="2077291"/>
                            <wp:effectExtent l="0" t="0" r="317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077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 w:rsidRPr="00F20387">
        <w:t>Contact Number:</w:t>
      </w:r>
      <w:r w:rsidR="00B057F9" w:rsidRPr="00F20387">
        <w:t xml:space="preserve"> +</w:t>
      </w:r>
      <w:r w:rsidR="00587049" w:rsidRPr="00F20387">
        <w:t>371 26031660</w:t>
      </w:r>
    </w:p>
    <w:p w:rsidR="000F6C4B" w:rsidRPr="00F20387" w:rsidRDefault="000F6C4B" w:rsidP="005B7D07"/>
    <w:p w:rsidR="000F6C4B" w:rsidRPr="00F20387" w:rsidRDefault="000F6C4B" w:rsidP="005B7D07"/>
    <w:p w:rsidR="000F6C4B" w:rsidRPr="00F20387" w:rsidRDefault="000F6C4B" w:rsidP="005B7D07"/>
    <w:p w:rsidR="000F6C4B" w:rsidRPr="00F20387" w:rsidRDefault="000F6C4B" w:rsidP="005B7D07"/>
    <w:sectPr w:rsidR="000F6C4B" w:rsidRPr="00F2038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6D8" w:rsidRDefault="00D216D8" w:rsidP="00BD61DA">
      <w:r>
        <w:separator/>
      </w:r>
    </w:p>
  </w:endnote>
  <w:endnote w:type="continuationSeparator" w:id="0">
    <w:p w:rsidR="00D216D8" w:rsidRDefault="00D216D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6D8" w:rsidRDefault="00D216D8" w:rsidP="00BD61DA">
      <w:r>
        <w:separator/>
      </w:r>
    </w:p>
  </w:footnote>
  <w:footnote w:type="continuationSeparator" w:id="0">
    <w:p w:rsidR="00D216D8" w:rsidRDefault="00D216D8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32F"/>
    <w:rsid w:val="0002392A"/>
    <w:rsid w:val="00050053"/>
    <w:rsid w:val="00074C9C"/>
    <w:rsid w:val="000D6718"/>
    <w:rsid w:val="000F6C4B"/>
    <w:rsid w:val="00180F30"/>
    <w:rsid w:val="001B06AE"/>
    <w:rsid w:val="001E1F70"/>
    <w:rsid w:val="001F1383"/>
    <w:rsid w:val="0023795B"/>
    <w:rsid w:val="00265E72"/>
    <w:rsid w:val="002C359D"/>
    <w:rsid w:val="002C3D9B"/>
    <w:rsid w:val="003057DC"/>
    <w:rsid w:val="0031455A"/>
    <w:rsid w:val="00340641"/>
    <w:rsid w:val="00363668"/>
    <w:rsid w:val="00384441"/>
    <w:rsid w:val="003A3C5A"/>
    <w:rsid w:val="003B78DC"/>
    <w:rsid w:val="00437503"/>
    <w:rsid w:val="004379E9"/>
    <w:rsid w:val="00441F91"/>
    <w:rsid w:val="00453A2F"/>
    <w:rsid w:val="00483CAB"/>
    <w:rsid w:val="004D7813"/>
    <w:rsid w:val="004E62DD"/>
    <w:rsid w:val="004F0441"/>
    <w:rsid w:val="00503F6E"/>
    <w:rsid w:val="00552E98"/>
    <w:rsid w:val="00587049"/>
    <w:rsid w:val="005A28CF"/>
    <w:rsid w:val="005B4B32"/>
    <w:rsid w:val="005B607D"/>
    <w:rsid w:val="005B7D07"/>
    <w:rsid w:val="00654259"/>
    <w:rsid w:val="006758A2"/>
    <w:rsid w:val="006C1B1B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75DEB"/>
    <w:rsid w:val="008E2F78"/>
    <w:rsid w:val="008E737B"/>
    <w:rsid w:val="008F6100"/>
    <w:rsid w:val="00912F54"/>
    <w:rsid w:val="009215E3"/>
    <w:rsid w:val="0092551C"/>
    <w:rsid w:val="00971229"/>
    <w:rsid w:val="00971E48"/>
    <w:rsid w:val="009E52D9"/>
    <w:rsid w:val="009E718B"/>
    <w:rsid w:val="00A4183E"/>
    <w:rsid w:val="00A50C1E"/>
    <w:rsid w:val="00A67093"/>
    <w:rsid w:val="00A72842"/>
    <w:rsid w:val="00AA5A30"/>
    <w:rsid w:val="00AC5543"/>
    <w:rsid w:val="00AD06C6"/>
    <w:rsid w:val="00AF61EB"/>
    <w:rsid w:val="00B03DB8"/>
    <w:rsid w:val="00B057F9"/>
    <w:rsid w:val="00B17C38"/>
    <w:rsid w:val="00B44878"/>
    <w:rsid w:val="00B8710A"/>
    <w:rsid w:val="00B97C76"/>
    <w:rsid w:val="00BA2068"/>
    <w:rsid w:val="00BA6511"/>
    <w:rsid w:val="00BD61DA"/>
    <w:rsid w:val="00C07C5B"/>
    <w:rsid w:val="00C1429A"/>
    <w:rsid w:val="00C578FF"/>
    <w:rsid w:val="00C828BF"/>
    <w:rsid w:val="00CE6677"/>
    <w:rsid w:val="00D216D8"/>
    <w:rsid w:val="00D5172B"/>
    <w:rsid w:val="00D605F8"/>
    <w:rsid w:val="00D734FE"/>
    <w:rsid w:val="00D841B1"/>
    <w:rsid w:val="00DB434E"/>
    <w:rsid w:val="00DC2CCE"/>
    <w:rsid w:val="00DC433A"/>
    <w:rsid w:val="00E1608A"/>
    <w:rsid w:val="00E37BD1"/>
    <w:rsid w:val="00E63452"/>
    <w:rsid w:val="00ED2B89"/>
    <w:rsid w:val="00EE069B"/>
    <w:rsid w:val="00F06EF8"/>
    <w:rsid w:val="00F20387"/>
    <w:rsid w:val="00F26034"/>
    <w:rsid w:val="00F7460C"/>
    <w:rsid w:val="00F848FD"/>
    <w:rsid w:val="00FE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 "/>
  <w14:docId w14:val="0D3A1996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11333-260E-4578-8AAD-EAF21D03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20</cp:revision>
  <dcterms:created xsi:type="dcterms:W3CDTF">2018-01-22T07:07:00Z</dcterms:created>
  <dcterms:modified xsi:type="dcterms:W3CDTF">2018-01-22T10:14:00Z</dcterms:modified>
</cp:coreProperties>
</file>