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C2D" w:rsidRPr="00D83C2D" w:rsidRDefault="00D83C2D" w:rsidP="00D83C2D">
      <w:pPr>
        <w:spacing w:line="240" w:lineRule="auto"/>
        <w:jc w:val="center"/>
        <w:rPr>
          <w:rFonts w:asciiTheme="majorBidi" w:hAnsiTheme="majorBidi" w:cstheme="majorBidi"/>
          <w:sz w:val="24"/>
          <w:szCs w:val="24"/>
        </w:rPr>
      </w:pPr>
      <w:r w:rsidRPr="00D83C2D">
        <w:rPr>
          <w:rFonts w:asciiTheme="majorBidi" w:hAnsiTheme="majorBidi" w:cstheme="majorBidi"/>
          <w:sz w:val="24"/>
          <w:szCs w:val="24"/>
        </w:rPr>
        <w:t>HPLC SEPARATION OF ENANTIOMERS OF SOME ANTIFUNGALS USING COVALENTLY IMMOBILIZED POLYSACCHARIDE</w:t>
      </w:r>
      <w:r w:rsidRPr="00D83C2D">
        <w:rPr>
          <w:rFonts w:ascii="MS Mincho" w:eastAsia="MS Mincho" w:hAnsi="MS Mincho" w:cs="MS Mincho" w:hint="eastAsia"/>
          <w:sz w:val="24"/>
          <w:szCs w:val="24"/>
        </w:rPr>
        <w:t>‑</w:t>
      </w:r>
      <w:r w:rsidRPr="00D83C2D">
        <w:rPr>
          <w:rFonts w:asciiTheme="majorBidi" w:hAnsiTheme="majorBidi" w:cstheme="majorBidi"/>
          <w:sz w:val="24"/>
          <w:szCs w:val="24"/>
        </w:rPr>
        <w:t>BASED CHIRAL SELECTORS AND POLAR ORGANIC MOBILE PHASES</w:t>
      </w:r>
    </w:p>
    <w:p w:rsidR="00A364B3" w:rsidRPr="00A364B3" w:rsidRDefault="00A364B3" w:rsidP="00A364B3">
      <w:pPr>
        <w:spacing w:line="240" w:lineRule="auto"/>
        <w:rPr>
          <w:rFonts w:asciiTheme="majorBidi" w:hAnsiTheme="majorBidi" w:cstheme="majorBidi"/>
          <w:caps/>
          <w:sz w:val="24"/>
          <w:szCs w:val="24"/>
        </w:rPr>
      </w:pPr>
      <w:r>
        <w:rPr>
          <w:rFonts w:asciiTheme="majorBidi" w:hAnsiTheme="majorBidi" w:cstheme="majorBidi"/>
          <w:sz w:val="24"/>
          <w:szCs w:val="24"/>
          <w:u w:val="single"/>
        </w:rPr>
        <w:t>N</w:t>
      </w:r>
      <w:r w:rsidRPr="00A364B3">
        <w:rPr>
          <w:rFonts w:asciiTheme="majorBidi" w:hAnsiTheme="majorBidi" w:cstheme="majorBidi"/>
          <w:sz w:val="24"/>
          <w:szCs w:val="24"/>
          <w:u w:val="single"/>
        </w:rPr>
        <w:t xml:space="preserve">adia </w:t>
      </w:r>
      <w:r>
        <w:rPr>
          <w:rFonts w:asciiTheme="majorBidi" w:hAnsiTheme="majorBidi" w:cstheme="majorBidi"/>
          <w:sz w:val="24"/>
          <w:szCs w:val="24"/>
          <w:u w:val="single"/>
        </w:rPr>
        <w:t>B</w:t>
      </w:r>
      <w:r w:rsidRPr="00A364B3">
        <w:rPr>
          <w:rFonts w:asciiTheme="majorBidi" w:hAnsiTheme="majorBidi" w:cstheme="majorBidi"/>
          <w:sz w:val="24"/>
          <w:szCs w:val="24"/>
          <w:u w:val="single"/>
        </w:rPr>
        <w:t>ounoua</w:t>
      </w:r>
      <w:r w:rsidRPr="00A364B3">
        <w:rPr>
          <w:rFonts w:asciiTheme="majorBidi" w:hAnsiTheme="majorBidi" w:cstheme="majorBidi"/>
          <w:sz w:val="24"/>
          <w:szCs w:val="24"/>
          <w:u w:val="single"/>
          <w:vertAlign w:val="superscript"/>
        </w:rPr>
        <w:t>1</w:t>
      </w:r>
      <w:r w:rsidRPr="00A364B3">
        <w:rPr>
          <w:rFonts w:asciiTheme="majorBidi" w:hAnsiTheme="majorBidi" w:cstheme="majorBidi"/>
          <w:sz w:val="24"/>
          <w:szCs w:val="24"/>
        </w:rPr>
        <w:t xml:space="preserve">, </w:t>
      </w:r>
      <w:r>
        <w:rPr>
          <w:rFonts w:asciiTheme="majorBidi" w:hAnsiTheme="majorBidi" w:cstheme="majorBidi"/>
          <w:sz w:val="24"/>
          <w:szCs w:val="24"/>
        </w:rPr>
        <w:t>K</w:t>
      </w:r>
      <w:r w:rsidRPr="00A364B3">
        <w:rPr>
          <w:rFonts w:asciiTheme="majorBidi" w:hAnsiTheme="majorBidi" w:cstheme="majorBidi"/>
          <w:sz w:val="24"/>
          <w:szCs w:val="24"/>
        </w:rPr>
        <w:t xml:space="preserve">haled </w:t>
      </w:r>
      <w:r>
        <w:rPr>
          <w:rFonts w:asciiTheme="majorBidi" w:hAnsiTheme="majorBidi" w:cstheme="majorBidi"/>
          <w:sz w:val="24"/>
          <w:szCs w:val="24"/>
        </w:rPr>
        <w:t>K</w:t>
      </w:r>
      <w:r w:rsidRPr="00A364B3">
        <w:rPr>
          <w:rFonts w:asciiTheme="majorBidi" w:hAnsiTheme="majorBidi" w:cstheme="majorBidi"/>
          <w:sz w:val="24"/>
          <w:szCs w:val="24"/>
        </w:rPr>
        <w:t>ekkoum</w:t>
      </w:r>
      <w:r w:rsidRPr="00A364B3">
        <w:rPr>
          <w:rFonts w:asciiTheme="majorBidi" w:hAnsiTheme="majorBidi" w:cstheme="majorBidi"/>
          <w:sz w:val="24"/>
          <w:szCs w:val="24"/>
          <w:vertAlign w:val="superscript"/>
        </w:rPr>
        <w:t>1</w:t>
      </w:r>
      <w:r w:rsidRPr="00A364B3">
        <w:rPr>
          <w:rFonts w:asciiTheme="majorBidi" w:hAnsiTheme="majorBidi" w:cstheme="majorBidi"/>
          <w:sz w:val="24"/>
          <w:szCs w:val="24"/>
        </w:rPr>
        <w:t xml:space="preserve">, </w:t>
      </w:r>
      <w:r>
        <w:rPr>
          <w:rFonts w:asciiTheme="majorBidi" w:hAnsiTheme="majorBidi" w:cstheme="majorBidi"/>
          <w:sz w:val="24"/>
          <w:szCs w:val="24"/>
        </w:rPr>
        <w:t>M</w:t>
      </w:r>
      <w:r w:rsidRPr="00A364B3">
        <w:rPr>
          <w:rFonts w:asciiTheme="majorBidi" w:hAnsiTheme="majorBidi" w:cstheme="majorBidi"/>
          <w:sz w:val="24"/>
          <w:szCs w:val="24"/>
        </w:rPr>
        <w:t xml:space="preserve">ehmet </w:t>
      </w:r>
      <w:r>
        <w:rPr>
          <w:rFonts w:asciiTheme="majorBidi" w:hAnsiTheme="majorBidi" w:cstheme="majorBidi"/>
          <w:sz w:val="24"/>
          <w:szCs w:val="24"/>
        </w:rPr>
        <w:t>G</w:t>
      </w:r>
      <w:r w:rsidRPr="00A364B3">
        <w:rPr>
          <w:rFonts w:asciiTheme="majorBidi" w:hAnsiTheme="majorBidi" w:cstheme="majorBidi"/>
          <w:sz w:val="24"/>
          <w:szCs w:val="24"/>
        </w:rPr>
        <w:t>umustas</w:t>
      </w:r>
      <w:r w:rsidRPr="00A364B3">
        <w:rPr>
          <w:rFonts w:asciiTheme="majorBidi" w:hAnsiTheme="majorBidi" w:cstheme="majorBidi"/>
          <w:sz w:val="24"/>
          <w:szCs w:val="24"/>
          <w:vertAlign w:val="superscript"/>
        </w:rPr>
        <w:t>2</w:t>
      </w:r>
      <w:proofErr w:type="gramStart"/>
      <w:r w:rsidRPr="00A364B3">
        <w:rPr>
          <w:rFonts w:asciiTheme="majorBidi" w:hAnsiTheme="majorBidi" w:cstheme="majorBidi"/>
          <w:sz w:val="24"/>
          <w:szCs w:val="24"/>
          <w:vertAlign w:val="superscript"/>
        </w:rPr>
        <w:t>,3</w:t>
      </w:r>
      <w:proofErr w:type="gramEnd"/>
      <w:r w:rsidRPr="00A364B3">
        <w:rPr>
          <w:rFonts w:asciiTheme="majorBidi" w:hAnsiTheme="majorBidi" w:cstheme="majorBidi"/>
          <w:sz w:val="24"/>
          <w:szCs w:val="24"/>
          <w:vertAlign w:val="superscript"/>
        </w:rPr>
        <w:t xml:space="preserve"> </w:t>
      </w:r>
      <w:r>
        <w:rPr>
          <w:rFonts w:asciiTheme="majorBidi" w:hAnsiTheme="majorBidi" w:cstheme="majorBidi"/>
          <w:sz w:val="24"/>
          <w:szCs w:val="24"/>
        </w:rPr>
        <w:t>N</w:t>
      </w:r>
      <w:r w:rsidRPr="00A364B3">
        <w:rPr>
          <w:rFonts w:asciiTheme="majorBidi" w:hAnsiTheme="majorBidi" w:cstheme="majorBidi"/>
          <w:sz w:val="24"/>
          <w:szCs w:val="24"/>
        </w:rPr>
        <w:t xml:space="preserve">asser </w:t>
      </w:r>
      <w:r>
        <w:rPr>
          <w:rFonts w:asciiTheme="majorBidi" w:hAnsiTheme="majorBidi" w:cstheme="majorBidi"/>
          <w:sz w:val="24"/>
          <w:szCs w:val="24"/>
        </w:rPr>
        <w:t>B</w:t>
      </w:r>
      <w:r w:rsidRPr="00A364B3">
        <w:rPr>
          <w:rFonts w:asciiTheme="majorBidi" w:hAnsiTheme="majorBidi" w:cstheme="majorBidi"/>
          <w:sz w:val="24"/>
          <w:szCs w:val="24"/>
        </w:rPr>
        <w:t>elboukhari</w:t>
      </w:r>
      <w:r w:rsidRPr="00A364B3">
        <w:rPr>
          <w:rFonts w:asciiTheme="majorBidi" w:hAnsiTheme="majorBidi" w:cstheme="majorBidi"/>
          <w:sz w:val="24"/>
          <w:szCs w:val="24"/>
          <w:vertAlign w:val="superscript"/>
        </w:rPr>
        <w:t>1</w:t>
      </w:r>
      <w:r w:rsidRPr="00A364B3">
        <w:rPr>
          <w:rFonts w:asciiTheme="majorBidi" w:hAnsiTheme="majorBidi" w:cstheme="majorBidi"/>
          <w:sz w:val="24"/>
          <w:szCs w:val="24"/>
        </w:rPr>
        <w:t xml:space="preserve">, </w:t>
      </w:r>
      <w:proofErr w:type="spellStart"/>
      <w:r>
        <w:rPr>
          <w:rFonts w:asciiTheme="majorBidi" w:hAnsiTheme="majorBidi" w:cstheme="majorBidi"/>
          <w:sz w:val="24"/>
          <w:szCs w:val="24"/>
        </w:rPr>
        <w:t>S</w:t>
      </w:r>
      <w:r w:rsidRPr="00A364B3">
        <w:rPr>
          <w:rFonts w:asciiTheme="majorBidi" w:hAnsiTheme="majorBidi" w:cstheme="majorBidi"/>
          <w:sz w:val="24"/>
          <w:szCs w:val="24"/>
        </w:rPr>
        <w:t>ibel</w:t>
      </w:r>
      <w:proofErr w:type="spellEnd"/>
      <w:r w:rsidRPr="00A364B3">
        <w:rPr>
          <w:rFonts w:asciiTheme="majorBidi" w:hAnsiTheme="majorBidi" w:cstheme="majorBidi"/>
          <w:sz w:val="24"/>
          <w:szCs w:val="24"/>
        </w:rPr>
        <w:t xml:space="preserve"> a.</w:t>
      </w:r>
      <w:bookmarkStart w:id="0" w:name="_GoBack"/>
      <w:bookmarkEnd w:id="0"/>
      <w:r w:rsidRPr="00A364B3">
        <w:rPr>
          <w:rFonts w:asciiTheme="majorBidi" w:hAnsiTheme="majorBidi" w:cstheme="majorBidi"/>
          <w:sz w:val="24"/>
          <w:szCs w:val="24"/>
        </w:rPr>
        <w:t xml:space="preserve"> ozkan</w:t>
      </w:r>
      <w:r w:rsidRPr="00A364B3">
        <w:rPr>
          <w:rFonts w:asciiTheme="majorBidi" w:hAnsiTheme="majorBidi" w:cstheme="majorBidi"/>
          <w:sz w:val="24"/>
          <w:szCs w:val="24"/>
          <w:vertAlign w:val="superscript"/>
        </w:rPr>
        <w:t>2</w:t>
      </w:r>
      <w:r w:rsidRPr="00A364B3">
        <w:rPr>
          <w:rFonts w:asciiTheme="majorBidi" w:hAnsiTheme="majorBidi" w:cstheme="majorBidi"/>
          <w:sz w:val="24"/>
          <w:szCs w:val="24"/>
        </w:rPr>
        <w:t xml:space="preserve">, </w:t>
      </w:r>
      <w:r>
        <w:rPr>
          <w:rFonts w:asciiTheme="majorBidi" w:hAnsiTheme="majorBidi" w:cstheme="majorBidi"/>
          <w:sz w:val="24"/>
          <w:szCs w:val="24"/>
        </w:rPr>
        <w:t>B</w:t>
      </w:r>
      <w:r w:rsidRPr="00A364B3">
        <w:rPr>
          <w:rFonts w:asciiTheme="majorBidi" w:hAnsiTheme="majorBidi" w:cstheme="majorBidi"/>
          <w:sz w:val="24"/>
          <w:szCs w:val="24"/>
        </w:rPr>
        <w:t>ezhan chankvetadze</w:t>
      </w:r>
      <w:r w:rsidRPr="00A364B3">
        <w:rPr>
          <w:rFonts w:asciiTheme="majorBidi" w:hAnsiTheme="majorBidi" w:cstheme="majorBidi"/>
          <w:sz w:val="24"/>
          <w:szCs w:val="24"/>
          <w:vertAlign w:val="superscript"/>
        </w:rPr>
        <w:t>4</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1 </w:t>
      </w:r>
      <w:r w:rsidRPr="001B2CC2">
        <w:rPr>
          <w:rFonts w:ascii="Times New Roman" w:hAnsi="Times New Roman" w:cs="Times New Roman"/>
          <w:i/>
          <w:iCs/>
          <w:sz w:val="19"/>
          <w:szCs w:val="19"/>
        </w:rPr>
        <w:t xml:space="preserve">Bioactive Molecules and Chiral Separation Laboratory, Faculty of Science and Technology, University of Bechar, Algeria </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2 </w:t>
      </w:r>
      <w:proofErr w:type="spellStart"/>
      <w:r w:rsidRPr="001B2CC2">
        <w:rPr>
          <w:rFonts w:ascii="Times New Roman" w:hAnsi="Times New Roman" w:cs="Times New Roman"/>
          <w:i/>
          <w:iCs/>
          <w:sz w:val="19"/>
          <w:szCs w:val="19"/>
        </w:rPr>
        <w:t>Hitit</w:t>
      </w:r>
      <w:proofErr w:type="spellEnd"/>
      <w:r w:rsidRPr="001B2CC2">
        <w:rPr>
          <w:rFonts w:ascii="Times New Roman" w:hAnsi="Times New Roman" w:cs="Times New Roman"/>
          <w:i/>
          <w:iCs/>
          <w:sz w:val="19"/>
          <w:szCs w:val="19"/>
        </w:rPr>
        <w:t xml:space="preserve"> University Faculty of Arts &amp; Sciences Departme</w:t>
      </w:r>
      <w:r w:rsidR="001B2CC2" w:rsidRPr="001B2CC2">
        <w:rPr>
          <w:rFonts w:ascii="Times New Roman" w:hAnsi="Times New Roman" w:cs="Times New Roman"/>
          <w:i/>
          <w:iCs/>
          <w:sz w:val="19"/>
          <w:szCs w:val="19"/>
        </w:rPr>
        <w:t xml:space="preserve">nt of Chemistry, </w:t>
      </w:r>
      <w:proofErr w:type="spellStart"/>
      <w:r w:rsidR="001B2CC2" w:rsidRPr="001B2CC2">
        <w:rPr>
          <w:rFonts w:ascii="Times New Roman" w:hAnsi="Times New Roman" w:cs="Times New Roman"/>
          <w:i/>
          <w:iCs/>
          <w:sz w:val="19"/>
          <w:szCs w:val="19"/>
        </w:rPr>
        <w:t>Corum</w:t>
      </w:r>
      <w:proofErr w:type="spellEnd"/>
      <w:r w:rsidR="001B2CC2" w:rsidRPr="001B2CC2">
        <w:rPr>
          <w:rFonts w:ascii="Times New Roman" w:hAnsi="Times New Roman" w:cs="Times New Roman"/>
          <w:i/>
          <w:iCs/>
          <w:sz w:val="19"/>
          <w:szCs w:val="19"/>
        </w:rPr>
        <w:t xml:space="preserve">, Turkey; </w:t>
      </w:r>
      <w:r w:rsidRPr="001B2CC2">
        <w:rPr>
          <w:rFonts w:ascii="Times New Roman" w:hAnsi="Times New Roman" w:cs="Times New Roman"/>
          <w:i/>
          <w:iCs/>
          <w:sz w:val="19"/>
          <w:szCs w:val="19"/>
        </w:rPr>
        <w:t>mgumustas@hotmail.com</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3 </w:t>
      </w:r>
      <w:r w:rsidRPr="001B2CC2">
        <w:rPr>
          <w:rFonts w:ascii="Times New Roman" w:hAnsi="Times New Roman" w:cs="Times New Roman"/>
          <w:i/>
          <w:iCs/>
          <w:sz w:val="19"/>
          <w:szCs w:val="19"/>
        </w:rPr>
        <w:t>Ankara University, Faculty of Pharmacy, Department of Analytical Chemistry, Ankara, Turkey</w:t>
      </w:r>
    </w:p>
    <w:p w:rsidR="00916455" w:rsidRPr="001B2CC2" w:rsidRDefault="00916455" w:rsidP="001B2CC2">
      <w:pPr>
        <w:pStyle w:val="HTMLPreformatted"/>
        <w:jc w:val="lowKashida"/>
        <w:rPr>
          <w:rFonts w:ascii="Times New Roman" w:hAnsi="Times New Roman" w:cs="Times New Roman"/>
          <w:i/>
          <w:iCs/>
          <w:sz w:val="19"/>
          <w:szCs w:val="19"/>
        </w:rPr>
      </w:pPr>
      <w:r w:rsidRPr="001B2CC2">
        <w:rPr>
          <w:rFonts w:ascii="Times New Roman" w:hAnsi="Times New Roman" w:cs="Times New Roman"/>
          <w:i/>
          <w:iCs/>
          <w:sz w:val="19"/>
          <w:szCs w:val="19"/>
          <w:vertAlign w:val="superscript"/>
        </w:rPr>
        <w:t xml:space="preserve">4 </w:t>
      </w:r>
      <w:r w:rsidRPr="001B2CC2">
        <w:rPr>
          <w:rFonts w:ascii="Times New Roman" w:hAnsi="Times New Roman" w:cs="Times New Roman"/>
          <w:i/>
          <w:iCs/>
          <w:sz w:val="19"/>
          <w:szCs w:val="19"/>
        </w:rPr>
        <w:t xml:space="preserve">Institute of Physical and Analytical Chemistry, School of Exact and Natural Sciences, Tbilisi State University, </w:t>
      </w:r>
      <w:proofErr w:type="spellStart"/>
      <w:r w:rsidRPr="001B2CC2">
        <w:rPr>
          <w:rFonts w:ascii="Times New Roman" w:hAnsi="Times New Roman" w:cs="Times New Roman"/>
          <w:i/>
          <w:iCs/>
          <w:sz w:val="19"/>
          <w:szCs w:val="19"/>
        </w:rPr>
        <w:t>Chavchavadze</w:t>
      </w:r>
      <w:proofErr w:type="spellEnd"/>
      <w:r w:rsidRPr="001B2CC2">
        <w:rPr>
          <w:rFonts w:ascii="Times New Roman" w:hAnsi="Times New Roman" w:cs="Times New Roman"/>
          <w:i/>
          <w:iCs/>
          <w:sz w:val="19"/>
          <w:szCs w:val="19"/>
        </w:rPr>
        <w:t xml:space="preserve"> Ave 1, 0179 Tbilisi, Georgia</w:t>
      </w:r>
    </w:p>
    <w:p w:rsidR="0028059F" w:rsidRPr="00916455" w:rsidRDefault="0028059F" w:rsidP="00DF04E3">
      <w:pPr>
        <w:pStyle w:val="HTMLPreformatted"/>
        <w:rPr>
          <w:rFonts w:ascii="Times New Roman" w:hAnsi="Times New Roman" w:cs="Times New Roman"/>
          <w:i/>
          <w:iCs/>
          <w:sz w:val="24"/>
          <w:vertAlign w:val="superscript"/>
          <w:lang w:val="en-IN"/>
        </w:rPr>
      </w:pPr>
    </w:p>
    <w:p w:rsidR="00DF04E3" w:rsidRDefault="00DF04E3" w:rsidP="001B2CC2">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1B2CC2" w:rsidRDefault="001B2CC2" w:rsidP="001B2CC2">
      <w:pPr>
        <w:pStyle w:val="HTMLPreformatted"/>
        <w:tabs>
          <w:tab w:val="left" w:pos="4374"/>
        </w:tabs>
        <w:jc w:val="both"/>
        <w:rPr>
          <w:rFonts w:ascii="Times New Roman" w:hAnsi="Times New Roman" w:cs="Times New Roman"/>
          <w:sz w:val="24"/>
        </w:rPr>
      </w:pP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Chiral antifungals are used as veterinary and human drugs, as well as agrochemicals. They are especially used to cure fungal infections that are commonly occurred on the nails, hair and skin. Those antifungals in use which show efficacy against fungal diseases, and mostly target specific components of fungal plasma membrane or its biosynthetic pathways. Enantioselectivity of chiral imidazole and triazole derivatives in biological action, metabolism and pharmacokinetics is well documented. </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In this work, separation of enantiomers of some chiral antifungals was studied on 2 polysaccharide-based chiral columns by high performance liquid chromatography (HPLC) using polar organic mobile phases such as methanol, acetonitrile, ethanol and isopropanol. </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10 chiral antifungal pharmaceuticals (Ketoconazole, Sertaconazole, Miconazole, Terconazole, Tioconazole, Isoconazole, Fluconazole, Luliconazole, Posaconazole and Itraconazole) were separated by Lux </w:t>
      </w:r>
      <w:proofErr w:type="spellStart"/>
      <w:r>
        <w:rPr>
          <w:rFonts w:asciiTheme="majorBidi" w:hAnsiTheme="majorBidi" w:cstheme="majorBidi"/>
          <w:sz w:val="20"/>
          <w:szCs w:val="20"/>
        </w:rPr>
        <w:t>i</w:t>
      </w:r>
      <w:proofErr w:type="spellEnd"/>
      <w:r>
        <w:rPr>
          <w:rFonts w:asciiTheme="majorBidi" w:hAnsiTheme="majorBidi" w:cstheme="majorBidi"/>
          <w:sz w:val="20"/>
          <w:szCs w:val="20"/>
        </w:rPr>
        <w:t>-Cellulose 5 (Cellulose (3</w:t>
      </w:r>
      <w:proofErr w:type="gramStart"/>
      <w:r>
        <w:rPr>
          <w:rFonts w:asciiTheme="majorBidi" w:hAnsiTheme="majorBidi" w:cstheme="majorBidi"/>
          <w:sz w:val="20"/>
          <w:szCs w:val="20"/>
        </w:rPr>
        <w:t>,5</w:t>
      </w:r>
      <w:proofErr w:type="gramEnd"/>
      <w:r>
        <w:rPr>
          <w:rFonts w:asciiTheme="majorBidi" w:hAnsiTheme="majorBidi" w:cstheme="majorBidi"/>
          <w:sz w:val="20"/>
          <w:szCs w:val="20"/>
        </w:rPr>
        <w:t xml:space="preserve">-dichlorophenylcarbamate) and one experimental amylose based chiral column (amylose 3,5-dimethylphenylcarbamate) with the dimension 4.6x250 mm. The mobile phase flow rate was 1 mL/min and the temperature of the columns were kept at 25 </w:t>
      </w:r>
      <w:proofErr w:type="spellStart"/>
      <w:r>
        <w:rPr>
          <w:rFonts w:asciiTheme="majorBidi" w:hAnsiTheme="majorBidi" w:cstheme="majorBidi"/>
          <w:sz w:val="20"/>
          <w:szCs w:val="20"/>
          <w:vertAlign w:val="superscript"/>
        </w:rPr>
        <w:t>o</w:t>
      </w:r>
      <w:r>
        <w:rPr>
          <w:rFonts w:asciiTheme="majorBidi" w:hAnsiTheme="majorBidi" w:cstheme="majorBidi"/>
          <w:sz w:val="20"/>
          <w:szCs w:val="20"/>
        </w:rPr>
        <w:t>C</w:t>
      </w:r>
      <w:proofErr w:type="spellEnd"/>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 xml:space="preserve">Polar organic mobile phases offer certain advantages for separation of enantiomers such as short analysis time, high plate numbers and </w:t>
      </w:r>
      <w:proofErr w:type="spellStart"/>
      <w:r>
        <w:rPr>
          <w:rFonts w:asciiTheme="majorBidi" w:hAnsiTheme="majorBidi" w:cstheme="majorBidi"/>
          <w:sz w:val="20"/>
          <w:szCs w:val="20"/>
        </w:rPr>
        <w:t>favorable</w:t>
      </w:r>
      <w:proofErr w:type="spellEnd"/>
      <w:r>
        <w:rPr>
          <w:rFonts w:asciiTheme="majorBidi" w:hAnsiTheme="majorBidi" w:cstheme="majorBidi"/>
          <w:sz w:val="20"/>
          <w:szCs w:val="20"/>
        </w:rPr>
        <w:t xml:space="preserve"> signal to noise ratio. Used chiral columns offer good stability in pure polar organic solvents as well as wider variety of mobile phases.</w:t>
      </w:r>
    </w:p>
    <w:p w:rsidR="001B2CC2" w:rsidRDefault="001B2CC2" w:rsidP="001B2CC2">
      <w:pPr>
        <w:spacing w:line="240" w:lineRule="auto"/>
        <w:jc w:val="both"/>
        <w:rPr>
          <w:rFonts w:asciiTheme="majorBidi" w:hAnsiTheme="majorBidi" w:cstheme="majorBidi"/>
          <w:sz w:val="20"/>
          <w:szCs w:val="20"/>
        </w:rPr>
      </w:pPr>
      <w:r>
        <w:rPr>
          <w:rFonts w:asciiTheme="majorBidi" w:hAnsiTheme="majorBidi" w:cstheme="majorBidi"/>
          <w:sz w:val="20"/>
          <w:szCs w:val="20"/>
        </w:rPr>
        <w:t>Finally, this study demonstrated the chiral columns based on cellulose 3</w:t>
      </w:r>
      <w:proofErr w:type="gramStart"/>
      <w:r>
        <w:rPr>
          <w:rFonts w:asciiTheme="majorBidi" w:hAnsiTheme="majorBidi" w:cstheme="majorBidi"/>
          <w:sz w:val="20"/>
          <w:szCs w:val="20"/>
        </w:rPr>
        <w:t>,5</w:t>
      </w:r>
      <w:proofErr w:type="gramEnd"/>
      <w:r>
        <w:rPr>
          <w:rFonts w:asciiTheme="majorBidi" w:hAnsiTheme="majorBidi" w:cstheme="majorBidi"/>
          <w:sz w:val="20"/>
          <w:szCs w:val="20"/>
        </w:rPr>
        <w:t xml:space="preserve">-dichlorophenylcarbamate and amylose 3,5-dimethylphenylcarbamate covalently attached to the surface of silica particles can effectively separate the chiral imidazole and triazole derivatives by using polar organic mobile phases. </w:t>
      </w:r>
    </w:p>
    <w:p w:rsidR="0028059F" w:rsidRPr="0015527C" w:rsidRDefault="0028059F" w:rsidP="00DD4BA5">
      <w:pPr>
        <w:pStyle w:val="HTMLPreformatted"/>
        <w:jc w:val="both"/>
        <w:rPr>
          <w:rFonts w:ascii="Times New Roman" w:hAnsi="Times New Roman" w:cs="Times New Roman"/>
        </w:rPr>
      </w:pPr>
      <w:r w:rsidRPr="0015527C">
        <w:rPr>
          <w:rFonts w:ascii="Times New Roman" w:hAnsi="Times New Roman" w:cs="Times New Roman"/>
        </w:rPr>
        <w:t>Keywords</w:t>
      </w:r>
      <w:r w:rsidR="00DD4BA5">
        <w:rPr>
          <w:rFonts w:ascii="Times New Roman" w:hAnsi="Times New Roman" w:cs="Times New Roman"/>
        </w:rPr>
        <w:t xml:space="preserve">: </w:t>
      </w:r>
      <w:r w:rsidR="0015527C" w:rsidRPr="0015527C">
        <w:rPr>
          <w:rFonts w:ascii="Times New Roman" w:hAnsi="Times New Roman" w:cs="Times New Roman"/>
        </w:rPr>
        <w:t xml:space="preserve">antifungal- enantioseparation- </w:t>
      </w:r>
      <w:proofErr w:type="spellStart"/>
      <w:r w:rsidR="0015527C" w:rsidRPr="0015527C">
        <w:rPr>
          <w:rFonts w:ascii="Times New Roman" w:hAnsi="Times New Roman" w:cs="Times New Roman"/>
        </w:rPr>
        <w:t>hplc</w:t>
      </w:r>
      <w:proofErr w:type="spellEnd"/>
      <w:r w:rsidR="0015527C" w:rsidRPr="0015527C">
        <w:rPr>
          <w:rFonts w:ascii="Times New Roman" w:hAnsi="Times New Roman" w:cs="Times New Roman"/>
        </w:rPr>
        <w:t>- polysaccharides</w:t>
      </w:r>
      <w:r w:rsidR="0015527C" w:rsidRPr="0015527C">
        <w:rPr>
          <w:rFonts w:ascii="Times New Roman" w:hAnsi="Times New Roman" w:cs="Times New Roman"/>
          <w:i/>
        </w:rPr>
        <w:t xml:space="preserve"> </w:t>
      </w:r>
    </w:p>
    <w:p w:rsidR="00DF04E3" w:rsidRDefault="00DF04E3" w:rsidP="00DF04E3">
      <w:pPr>
        <w:pStyle w:val="HTMLPreformatted"/>
        <w:jc w:val="both"/>
        <w:rPr>
          <w:rFonts w:ascii="Times New Roman" w:hAnsi="Times New Roman" w:cs="Times New Roman"/>
          <w:sz w:val="24"/>
        </w:rPr>
      </w:pPr>
    </w:p>
    <w:p w:rsidR="00446DA3" w:rsidRPr="00446DA3" w:rsidRDefault="0028059F" w:rsidP="00446DA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Pr="00446DA3" w:rsidRDefault="0015527C" w:rsidP="006A465B">
      <w:pPr>
        <w:pStyle w:val="HTMLPreformatted"/>
        <w:jc w:val="both"/>
        <w:rPr>
          <w:rFonts w:ascii="Times New Roman" w:hAnsi="Times New Roman" w:cs="Times New Roman"/>
          <w:iCs/>
        </w:rPr>
      </w:pPr>
      <w:r w:rsidRPr="00446DA3">
        <w:rPr>
          <w:rFonts w:ascii="Times New Roman" w:hAnsi="Times New Roman" w:cs="Times New Roman"/>
          <w:iCs/>
        </w:rPr>
        <w:t>Nadia Bounoua is</w:t>
      </w:r>
      <w:r w:rsidR="00DF04E3" w:rsidRPr="00446DA3">
        <w:rPr>
          <w:rFonts w:ascii="Times New Roman" w:hAnsi="Times New Roman" w:cs="Times New Roman"/>
          <w:iCs/>
        </w:rPr>
        <w:t xml:space="preserve"> PhD</w:t>
      </w:r>
      <w:r w:rsidRPr="00446DA3">
        <w:rPr>
          <w:rFonts w:ascii="Times New Roman" w:hAnsi="Times New Roman" w:cs="Times New Roman"/>
          <w:iCs/>
        </w:rPr>
        <w:t xml:space="preserve"> </w:t>
      </w:r>
      <w:r w:rsidR="006A465B" w:rsidRPr="00446DA3">
        <w:rPr>
          <w:rFonts w:ascii="Times New Roman" w:hAnsi="Times New Roman" w:cs="Times New Roman"/>
          <w:iCs/>
        </w:rPr>
        <w:t>Student</w:t>
      </w:r>
      <w:r w:rsidR="00DF04E3" w:rsidRPr="00446DA3">
        <w:rPr>
          <w:rFonts w:ascii="Times New Roman" w:hAnsi="Times New Roman" w:cs="Times New Roman"/>
          <w:iCs/>
        </w:rPr>
        <w:t xml:space="preserve"> </w:t>
      </w:r>
      <w:r w:rsidR="006A465B" w:rsidRPr="00446DA3">
        <w:rPr>
          <w:rFonts w:ascii="Times New Roman" w:hAnsi="Times New Roman" w:cs="Times New Roman"/>
          <w:iCs/>
        </w:rPr>
        <w:t xml:space="preserve">University of </w:t>
      </w:r>
      <w:r w:rsidR="000A6DFD" w:rsidRPr="00446DA3">
        <w:rPr>
          <w:rFonts w:ascii="Times New Roman" w:hAnsi="Times New Roman" w:cs="Times New Roman"/>
          <w:iCs/>
        </w:rPr>
        <w:t>Tahri Mohamed</w:t>
      </w:r>
      <w:r w:rsidR="00DF04E3" w:rsidRPr="00446DA3">
        <w:rPr>
          <w:rFonts w:ascii="Times New Roman" w:hAnsi="Times New Roman" w:cs="Times New Roman"/>
          <w:iCs/>
        </w:rPr>
        <w:t xml:space="preserve"> and studies from </w:t>
      </w:r>
      <w:r w:rsidR="000A6DFD" w:rsidRPr="00446DA3">
        <w:rPr>
          <w:rFonts w:ascii="Times New Roman" w:hAnsi="Times New Roman" w:cs="Times New Roman"/>
          <w:iCs/>
        </w:rPr>
        <w:t xml:space="preserve">Ankara </w:t>
      </w:r>
      <w:r w:rsidR="00DF04E3" w:rsidRPr="00446DA3">
        <w:rPr>
          <w:rFonts w:ascii="Times New Roman" w:hAnsi="Times New Roman" w:cs="Times New Roman"/>
          <w:iCs/>
        </w:rPr>
        <w:t xml:space="preserve">University </w:t>
      </w:r>
      <w:r w:rsidR="000A6DFD" w:rsidRPr="00446DA3">
        <w:rPr>
          <w:rFonts w:ascii="Times New Roman" w:hAnsi="Times New Roman" w:cs="Times New Roman"/>
          <w:iCs/>
        </w:rPr>
        <w:t>faculty</w:t>
      </w:r>
      <w:r w:rsidR="00DF04E3" w:rsidRPr="00446DA3">
        <w:rPr>
          <w:rFonts w:ascii="Times New Roman" w:hAnsi="Times New Roman" w:cs="Times New Roman"/>
          <w:iCs/>
        </w:rPr>
        <w:t xml:space="preserve"> of </w:t>
      </w:r>
      <w:r w:rsidR="000A6DFD" w:rsidRPr="00446DA3">
        <w:rPr>
          <w:rFonts w:ascii="Times New Roman" w:hAnsi="Times New Roman" w:cs="Times New Roman"/>
          <w:iCs/>
        </w:rPr>
        <w:t>pharmacy</w:t>
      </w:r>
      <w:r w:rsidR="00595741" w:rsidRPr="00446DA3">
        <w:rPr>
          <w:rFonts w:ascii="Times New Roman" w:hAnsi="Times New Roman" w:cs="Times New Roman"/>
          <w:iCs/>
        </w:rPr>
        <w:t>. Sh</w:t>
      </w:r>
      <w:r w:rsidR="00DF04E3" w:rsidRPr="00446DA3">
        <w:rPr>
          <w:rFonts w:ascii="Times New Roman" w:hAnsi="Times New Roman" w:cs="Times New Roman"/>
          <w:iCs/>
        </w:rPr>
        <w:t xml:space="preserve">e has published </w:t>
      </w:r>
      <w:r w:rsidR="006A465B" w:rsidRPr="00446DA3">
        <w:rPr>
          <w:rFonts w:ascii="Times New Roman" w:hAnsi="Times New Roman" w:cs="Times New Roman"/>
          <w:iCs/>
        </w:rPr>
        <w:t>4 papers in reputed journals</w:t>
      </w:r>
      <w:r w:rsidR="00DF04E3" w:rsidRPr="00446DA3">
        <w:rPr>
          <w:rFonts w:ascii="Times New Roman" w:hAnsi="Times New Roman" w:cs="Times New Roman"/>
          <w:iCs/>
        </w:rPr>
        <w:t>.</w:t>
      </w:r>
    </w:p>
    <w:p w:rsidR="00B3082B" w:rsidRDefault="00B3082B" w:rsidP="00DF04E3">
      <w:pPr>
        <w:pStyle w:val="HTMLPreformatted"/>
        <w:jc w:val="both"/>
        <w:rPr>
          <w:rFonts w:ascii="Times New Roman" w:hAnsi="Times New Roman" w:cs="Times New Roman"/>
          <w:iCs/>
          <w:sz w:val="24"/>
        </w:rPr>
      </w:pPr>
    </w:p>
    <w:p w:rsidR="00DF04E3" w:rsidRPr="00495C76" w:rsidRDefault="00A73AC6" w:rsidP="0053638F">
      <w:pPr>
        <w:pStyle w:val="HTMLPreformatted"/>
        <w:rPr>
          <w:rFonts w:ascii="Times New Roman" w:hAnsi="Times New Roman" w:cs="Times New Roman"/>
          <w:b/>
          <w:sz w:val="24"/>
          <w:szCs w:val="24"/>
        </w:rPr>
      </w:pPr>
      <w:r w:rsidRPr="00A73AC6">
        <w:rPr>
          <w:rFonts w:ascii="Times New Roman" w:hAnsi="Times New Roman" w:cs="Times New Roman"/>
          <w:iCs/>
          <w:noProof/>
          <w:sz w:val="24"/>
          <w:lang w:val="en-US"/>
        </w:rPr>
        <w:drawing>
          <wp:inline distT="0" distB="0" distL="0" distR="0">
            <wp:extent cx="1011218" cy="1460113"/>
            <wp:effectExtent l="0" t="0" r="0" b="6985"/>
            <wp:docPr id="1" name="Picture 1" descr="C:\Users\HP\Documents\Bluetooth\Share\_20171205_190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luetooth\Share\_20171205_19025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48223" cy="1513545"/>
                    </a:xfrm>
                    <a:prstGeom prst="rect">
                      <a:avLst/>
                    </a:prstGeom>
                    <a:noFill/>
                    <a:ln>
                      <a:noFill/>
                    </a:ln>
                  </pic:spPr>
                </pic:pic>
              </a:graphicData>
            </a:graphic>
          </wp:inline>
        </w:drawing>
      </w:r>
      <w:r w:rsidR="0053638F">
        <w:rPr>
          <w:rFonts w:ascii="Times New Roman" w:hAnsi="Times New Roman" w:cs="Times New Roman"/>
          <w:iCs/>
          <w:sz w:val="24"/>
        </w:rPr>
        <w:t xml:space="preserve">                                                                  </w:t>
      </w:r>
      <w:r w:rsidR="00B3082B" w:rsidRPr="00B6703B">
        <w:rPr>
          <w:rFonts w:ascii="Times New Roman" w:hAnsi="Times New Roman" w:cs="Times New Roman"/>
          <w:iCs/>
          <w:sz w:val="24"/>
        </w:rPr>
        <w:t>Email Id:</w:t>
      </w:r>
      <w:r w:rsidR="006A465B">
        <w:rPr>
          <w:rFonts w:ascii="Times New Roman" w:hAnsi="Times New Roman" w:cs="Times New Roman"/>
          <w:iCs/>
          <w:sz w:val="24"/>
        </w:rPr>
        <w:t>Bounoua_nadia@yahoo.fr</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637B" w:rsidRDefault="0048637B" w:rsidP="00495C76">
      <w:pPr>
        <w:spacing w:after="0" w:line="240" w:lineRule="auto"/>
      </w:pPr>
      <w:r>
        <w:separator/>
      </w:r>
    </w:p>
  </w:endnote>
  <w:endnote w:type="continuationSeparator" w:id="0">
    <w:p w:rsidR="0048637B" w:rsidRDefault="0048637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637B" w:rsidRDefault="0048637B" w:rsidP="00495C76">
      <w:pPr>
        <w:spacing w:after="0" w:line="240" w:lineRule="auto"/>
      </w:pPr>
      <w:r>
        <w:separator/>
      </w:r>
    </w:p>
  </w:footnote>
  <w:footnote w:type="continuationSeparator" w:id="0">
    <w:p w:rsidR="0048637B" w:rsidRDefault="0048637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0A6DFD"/>
    <w:rsid w:val="000B34EE"/>
    <w:rsid w:val="0015527C"/>
    <w:rsid w:val="001A2DF2"/>
    <w:rsid w:val="001B2CC2"/>
    <w:rsid w:val="002350BC"/>
    <w:rsid w:val="0028059F"/>
    <w:rsid w:val="002F4DF0"/>
    <w:rsid w:val="00333E31"/>
    <w:rsid w:val="0038483D"/>
    <w:rsid w:val="00435234"/>
    <w:rsid w:val="00446DA3"/>
    <w:rsid w:val="0048637B"/>
    <w:rsid w:val="00495C76"/>
    <w:rsid w:val="0053638F"/>
    <w:rsid w:val="00595741"/>
    <w:rsid w:val="00627419"/>
    <w:rsid w:val="006A465B"/>
    <w:rsid w:val="007A5DB1"/>
    <w:rsid w:val="00905191"/>
    <w:rsid w:val="00916455"/>
    <w:rsid w:val="009C23E2"/>
    <w:rsid w:val="00A364B3"/>
    <w:rsid w:val="00A73AC6"/>
    <w:rsid w:val="00B3082B"/>
    <w:rsid w:val="00B6703B"/>
    <w:rsid w:val="00BA654F"/>
    <w:rsid w:val="00CE511D"/>
    <w:rsid w:val="00D83C2D"/>
    <w:rsid w:val="00DD4BA5"/>
    <w:rsid w:val="00DF04E3"/>
    <w:rsid w:val="00F4449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10D66B-2522-43AC-9824-8C3E34A1A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85268">
      <w:bodyDiv w:val="1"/>
      <w:marLeft w:val="0"/>
      <w:marRight w:val="0"/>
      <w:marTop w:val="0"/>
      <w:marBottom w:val="0"/>
      <w:divBdr>
        <w:top w:val="none" w:sz="0" w:space="0" w:color="auto"/>
        <w:left w:val="none" w:sz="0" w:space="0" w:color="auto"/>
        <w:bottom w:val="none" w:sz="0" w:space="0" w:color="auto"/>
        <w:right w:val="none" w:sz="0" w:space="0" w:color="auto"/>
      </w:divBdr>
    </w:div>
    <w:div w:id="111167077">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77736486">
      <w:bodyDiv w:val="1"/>
      <w:marLeft w:val="0"/>
      <w:marRight w:val="0"/>
      <w:marTop w:val="0"/>
      <w:marBottom w:val="0"/>
      <w:divBdr>
        <w:top w:val="none" w:sz="0" w:space="0" w:color="auto"/>
        <w:left w:val="none" w:sz="0" w:space="0" w:color="auto"/>
        <w:bottom w:val="none" w:sz="0" w:space="0" w:color="auto"/>
        <w:right w:val="none" w:sz="0" w:space="0" w:color="auto"/>
      </w:divBdr>
    </w:div>
    <w:div w:id="808279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Administrateur</cp:lastModifiedBy>
  <cp:revision>2</cp:revision>
  <dcterms:created xsi:type="dcterms:W3CDTF">2018-01-13T17:31:00Z</dcterms:created>
  <dcterms:modified xsi:type="dcterms:W3CDTF">2018-01-13T17:31:00Z</dcterms:modified>
</cp:coreProperties>
</file>