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C5F" w:rsidRPr="00427C5F" w:rsidRDefault="00B27BE8" w:rsidP="00427C5F">
      <w:pPr>
        <w:spacing w:after="200" w:line="480" w:lineRule="auto"/>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JAK2 Exon 12</w:t>
      </w:r>
      <w:r w:rsidR="00427C5F" w:rsidRPr="00427C5F">
        <w:rPr>
          <w:rFonts w:ascii="Minion Pro" w:eastAsia="Minion Pro" w:hAnsi="Minion Pro" w:cs="Minion Pro"/>
          <w:b/>
          <w:bCs/>
          <w:color w:val="337AB7"/>
          <w:sz w:val="36"/>
          <w:szCs w:val="36"/>
        </w:rPr>
        <w:t xml:space="preserve"> mutation</w:t>
      </w:r>
      <w:r>
        <w:rPr>
          <w:rFonts w:ascii="Minion Pro" w:eastAsia="Minion Pro" w:hAnsi="Minion Pro" w:cs="Minion Pro"/>
          <w:b/>
          <w:bCs/>
          <w:color w:val="337AB7"/>
          <w:sz w:val="36"/>
          <w:szCs w:val="36"/>
        </w:rPr>
        <w:t>s</w:t>
      </w:r>
      <w:bookmarkStart w:id="0" w:name="_GoBack"/>
      <w:bookmarkEnd w:id="0"/>
      <w:r w:rsidR="00427C5F" w:rsidRPr="00427C5F">
        <w:rPr>
          <w:rFonts w:ascii="Minion Pro" w:eastAsia="Minion Pro" w:hAnsi="Minion Pro" w:cs="Minion Pro"/>
          <w:b/>
          <w:bCs/>
          <w:color w:val="337AB7"/>
          <w:sz w:val="36"/>
          <w:szCs w:val="36"/>
        </w:rPr>
        <w:t xml:space="preserve"> in Sudanese Patients with Chronic Myeloproliferative Neoplasms</w:t>
      </w:r>
    </w:p>
    <w:p w:rsidR="00427C5F" w:rsidRDefault="00427C5F" w:rsidP="00494130">
      <w:pPr>
        <w:pStyle w:val="Heading1"/>
        <w:spacing w:before="170"/>
        <w:ind w:left="0"/>
      </w:pPr>
      <w:r>
        <w:rPr>
          <w:color w:val="337AB7"/>
        </w:rPr>
        <w:t xml:space="preserve"> </w:t>
      </w:r>
    </w:p>
    <w:p w:rsidR="0078738A" w:rsidRDefault="00427C5F" w:rsidP="00427C5F">
      <w:pPr>
        <w:pStyle w:val="BodyText"/>
        <w:spacing w:before="73" w:line="198" w:lineRule="exact"/>
        <w:ind w:left="100" w:right="5987"/>
        <w:rPr>
          <w:rFonts w:ascii="Arial"/>
        </w:rPr>
      </w:pPr>
      <w:r>
        <w:rPr>
          <w:rFonts w:ascii="Arial"/>
        </w:rPr>
        <w:t>Mr.</w:t>
      </w:r>
      <w:r w:rsidR="0078738A">
        <w:rPr>
          <w:rFonts w:ascii="Arial"/>
        </w:rPr>
        <w:t xml:space="preserve"> </w:t>
      </w:r>
      <w:r>
        <w:rPr>
          <w:rFonts w:ascii="Arial"/>
        </w:rPr>
        <w:t>ELRASHED B. YASIN</w:t>
      </w:r>
      <w:r w:rsidR="005973B9">
        <w:rPr>
          <w:rFonts w:ascii="Arial"/>
        </w:rPr>
        <w:t xml:space="preserve">, </w:t>
      </w:r>
      <w:r>
        <w:rPr>
          <w:rFonts w:ascii="Arial"/>
        </w:rPr>
        <w:t>MSc (MLS)</w:t>
      </w:r>
      <w:r w:rsidR="005973B9">
        <w:rPr>
          <w:rFonts w:ascii="Arial"/>
        </w:rPr>
        <w:t xml:space="preserve">, </w:t>
      </w:r>
      <w:r>
        <w:rPr>
          <w:rFonts w:ascii="Arial"/>
        </w:rPr>
        <w:t>MLS(ASCP)</w:t>
      </w:r>
      <w:proofErr w:type="spellStart"/>
      <w:r>
        <w:rPr>
          <w:rFonts w:ascii="Arial"/>
          <w:vertAlign w:val="superscript"/>
        </w:rPr>
        <w:t>i</w:t>
      </w:r>
      <w:proofErr w:type="spellEnd"/>
      <w:r>
        <w:rPr>
          <w:rFonts w:ascii="Arial"/>
        </w:rPr>
        <w:t>, Sudan</w:t>
      </w:r>
    </w:p>
    <w:p w:rsidR="00427C5F" w:rsidRPr="00427C5F" w:rsidRDefault="00427C5F" w:rsidP="00427C5F">
      <w:pPr>
        <w:pStyle w:val="BodyText"/>
        <w:spacing w:before="73" w:line="198" w:lineRule="exact"/>
        <w:ind w:left="100" w:right="5987"/>
        <w:rPr>
          <w:rFonts w:ascii="Arial"/>
        </w:rPr>
      </w:pPr>
      <w:r w:rsidRPr="00427C5F">
        <w:rPr>
          <w:rFonts w:ascii="Arial"/>
        </w:rPr>
        <w:t>lecturer of hematology &amp; senior laboratory scientist at faculty of applied medical sciences</w:t>
      </w:r>
      <w:r>
        <w:rPr>
          <w:rFonts w:ascii="Arial"/>
        </w:rPr>
        <w:t xml:space="preserve"> </w:t>
      </w:r>
      <w:r w:rsidRPr="00427C5F">
        <w:rPr>
          <w:rFonts w:ascii="Arial"/>
        </w:rPr>
        <w:t xml:space="preserve">King </w:t>
      </w:r>
      <w:proofErr w:type="spellStart"/>
      <w:r w:rsidRPr="00427C5F">
        <w:rPr>
          <w:rFonts w:ascii="Arial"/>
        </w:rPr>
        <w:t>Abdulaziz</w:t>
      </w:r>
      <w:proofErr w:type="spellEnd"/>
      <w:r w:rsidRPr="00427C5F">
        <w:rPr>
          <w:rFonts w:ascii="Arial"/>
        </w:rPr>
        <w:t xml:space="preserve"> University,</w:t>
      </w:r>
      <w:r>
        <w:rPr>
          <w:rFonts w:ascii="Arial"/>
        </w:rPr>
        <w:t xml:space="preserve"> KSA</w:t>
      </w:r>
    </w:p>
    <w:p w:rsidR="00AE3E37" w:rsidRPr="00427C5F" w:rsidRDefault="00AE3E37" w:rsidP="00427C5F">
      <w:pPr>
        <w:pStyle w:val="BodyText"/>
        <w:spacing w:before="73" w:line="198" w:lineRule="exact"/>
        <w:ind w:left="100" w:right="5987"/>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427C5F" w:rsidRDefault="002E2445" w:rsidP="002E2445">
      <w:pPr>
        <w:jc w:val="both"/>
        <w:rPr>
          <w:sz w:val="18"/>
          <w:szCs w:val="18"/>
        </w:rPr>
      </w:pPr>
      <w:r w:rsidRPr="002E2445">
        <w:rPr>
          <w:sz w:val="18"/>
          <w:szCs w:val="18"/>
        </w:rPr>
        <w:t xml:space="preserve">The understanding of the pathogenesis of myeloproliferative neoplasms has been aided significantly by the discovery of the JAK2 V617F mutation. Recently, mutations in JAK2 exon 12 have been identified in patients with Polycythemia Vera negative for JAK2 V617F. </w:t>
      </w:r>
      <w:r w:rsidR="00427C5F" w:rsidRPr="00427C5F">
        <w:rPr>
          <w:sz w:val="18"/>
          <w:szCs w:val="18"/>
        </w:rPr>
        <w:t xml:space="preserve">The aim of this study was to </w:t>
      </w:r>
      <w:r w:rsidRPr="002E2445">
        <w:rPr>
          <w:sz w:val="18"/>
          <w:szCs w:val="18"/>
        </w:rPr>
        <w:t>recognised</w:t>
      </w:r>
      <w:r w:rsidR="00427C5F" w:rsidRPr="00427C5F">
        <w:rPr>
          <w:sz w:val="18"/>
          <w:szCs w:val="18"/>
        </w:rPr>
        <w:t xml:space="preserve"> </w:t>
      </w:r>
      <w:r w:rsidR="00427C5F" w:rsidRPr="00427C5F">
        <w:rPr>
          <w:sz w:val="18"/>
          <w:szCs w:val="18"/>
        </w:rPr>
        <w:t xml:space="preserve">of JAK2 </w:t>
      </w:r>
      <w:r>
        <w:rPr>
          <w:sz w:val="18"/>
          <w:szCs w:val="18"/>
        </w:rPr>
        <w:t>Exon 12</w:t>
      </w:r>
      <w:r w:rsidR="00427C5F" w:rsidRPr="00427C5F">
        <w:rPr>
          <w:sz w:val="18"/>
          <w:szCs w:val="18"/>
        </w:rPr>
        <w:t xml:space="preserve"> mutation</w:t>
      </w:r>
      <w:r>
        <w:rPr>
          <w:sz w:val="18"/>
          <w:szCs w:val="18"/>
        </w:rPr>
        <w:t>s</w:t>
      </w:r>
      <w:r w:rsidR="00427C5F" w:rsidRPr="00427C5F">
        <w:rPr>
          <w:sz w:val="18"/>
          <w:szCs w:val="18"/>
        </w:rPr>
        <w:t xml:space="preserve"> in Sudanese patients with myeloproliferative disorders referred to </w:t>
      </w:r>
      <w:proofErr w:type="spellStart"/>
      <w:r w:rsidR="00427C5F" w:rsidRPr="00427C5F">
        <w:rPr>
          <w:sz w:val="18"/>
          <w:szCs w:val="18"/>
        </w:rPr>
        <w:t>Fedail</w:t>
      </w:r>
      <w:proofErr w:type="spellEnd"/>
      <w:r w:rsidR="00427C5F" w:rsidRPr="00427C5F">
        <w:rPr>
          <w:sz w:val="18"/>
          <w:szCs w:val="18"/>
        </w:rPr>
        <w:t xml:space="preserve"> Hospital and Radioisotopes Centre Khartoum (RICK) in Khartoum State-Sudan., and to investigate the differences of laboratory parameters between patients with JAK2 </w:t>
      </w:r>
      <w:r>
        <w:rPr>
          <w:sz w:val="18"/>
          <w:szCs w:val="18"/>
        </w:rPr>
        <w:t>Exon 12</w:t>
      </w:r>
      <w:r w:rsidR="00427C5F" w:rsidRPr="00427C5F">
        <w:rPr>
          <w:sz w:val="18"/>
          <w:szCs w:val="18"/>
        </w:rPr>
        <w:t xml:space="preserve"> positive myeloproliferative neoplasms (MPNs) and JAK2 </w:t>
      </w:r>
      <w:r>
        <w:rPr>
          <w:sz w:val="18"/>
          <w:szCs w:val="18"/>
        </w:rPr>
        <w:t>Exon12</w:t>
      </w:r>
      <w:r w:rsidR="00427C5F" w:rsidRPr="00427C5F">
        <w:rPr>
          <w:sz w:val="18"/>
          <w:szCs w:val="18"/>
        </w:rPr>
        <w:t xml:space="preserve"> wild type MPNs.</w:t>
      </w:r>
    </w:p>
    <w:p w:rsidR="00427C5F" w:rsidRPr="00427C5F" w:rsidRDefault="00427C5F" w:rsidP="002E2445">
      <w:pPr>
        <w:rPr>
          <w:sz w:val="18"/>
          <w:szCs w:val="18"/>
        </w:rPr>
      </w:pPr>
      <w:r w:rsidRPr="00427C5F">
        <w:rPr>
          <w:b/>
          <w:bCs/>
          <w:sz w:val="18"/>
          <w:szCs w:val="18"/>
        </w:rPr>
        <w:t>Materials and Methods:</w:t>
      </w:r>
      <w:r w:rsidRPr="00427C5F">
        <w:rPr>
          <w:sz w:val="18"/>
          <w:szCs w:val="18"/>
        </w:rPr>
        <w:t xml:space="preserve"> A total of 166 patients with MPNs; 76 with polycythemia Vera (PV), 76 with essential </w:t>
      </w:r>
      <w:proofErr w:type="spellStart"/>
      <w:r w:rsidR="00677670" w:rsidRPr="00427C5F">
        <w:rPr>
          <w:sz w:val="18"/>
          <w:szCs w:val="18"/>
        </w:rPr>
        <w:t>thrombocythemia</w:t>
      </w:r>
      <w:proofErr w:type="spellEnd"/>
      <w:r w:rsidR="00677670" w:rsidRPr="00427C5F">
        <w:rPr>
          <w:sz w:val="18"/>
          <w:szCs w:val="18"/>
        </w:rPr>
        <w:t xml:space="preserve"> (</w:t>
      </w:r>
      <w:r w:rsidRPr="00427C5F">
        <w:rPr>
          <w:sz w:val="18"/>
          <w:szCs w:val="18"/>
        </w:rPr>
        <w:t xml:space="preserve">ET) and 14 with primary </w:t>
      </w:r>
      <w:proofErr w:type="spellStart"/>
      <w:r w:rsidRPr="00427C5F">
        <w:rPr>
          <w:sz w:val="18"/>
          <w:szCs w:val="18"/>
        </w:rPr>
        <w:t>myelofibrosis</w:t>
      </w:r>
      <w:proofErr w:type="spellEnd"/>
      <w:r w:rsidRPr="00427C5F">
        <w:rPr>
          <w:sz w:val="18"/>
          <w:szCs w:val="18"/>
        </w:rPr>
        <w:t xml:space="preserve"> (PMF), and 11 healthy </w:t>
      </w:r>
      <w:r w:rsidR="00677670" w:rsidRPr="00427C5F">
        <w:rPr>
          <w:sz w:val="18"/>
          <w:szCs w:val="18"/>
        </w:rPr>
        <w:t>individuals were</w:t>
      </w:r>
      <w:r w:rsidRPr="00427C5F">
        <w:rPr>
          <w:sz w:val="18"/>
          <w:szCs w:val="18"/>
        </w:rPr>
        <w:t xml:space="preserve"> conducted from 2014 to 2018. DNA was isolated from peripheral blood leukocytes by </w:t>
      </w:r>
      <w:proofErr w:type="spellStart"/>
      <w:r w:rsidRPr="00427C5F">
        <w:rPr>
          <w:sz w:val="18"/>
          <w:szCs w:val="18"/>
        </w:rPr>
        <w:t>QIAamp</w:t>
      </w:r>
      <w:proofErr w:type="spellEnd"/>
      <w:r w:rsidRPr="00427C5F">
        <w:rPr>
          <w:sz w:val="18"/>
          <w:szCs w:val="18"/>
        </w:rPr>
        <w:t xml:space="preserve"> mini kit, and JAK2 </w:t>
      </w:r>
      <w:r w:rsidR="002E2445">
        <w:rPr>
          <w:sz w:val="18"/>
          <w:szCs w:val="18"/>
        </w:rPr>
        <w:t>Exon 12</w:t>
      </w:r>
      <w:r w:rsidR="00677670" w:rsidRPr="00427C5F">
        <w:rPr>
          <w:sz w:val="18"/>
          <w:szCs w:val="18"/>
        </w:rPr>
        <w:t xml:space="preserve"> mutation</w:t>
      </w:r>
      <w:r w:rsidR="002E2445">
        <w:rPr>
          <w:sz w:val="18"/>
          <w:szCs w:val="18"/>
        </w:rPr>
        <w:t>s</w:t>
      </w:r>
      <w:r w:rsidRPr="00427C5F">
        <w:rPr>
          <w:sz w:val="18"/>
          <w:szCs w:val="18"/>
        </w:rPr>
        <w:t xml:space="preserve"> gene detected </w:t>
      </w:r>
      <w:r w:rsidR="002E2445" w:rsidRPr="002E2445">
        <w:rPr>
          <w:sz w:val="18"/>
          <w:szCs w:val="18"/>
        </w:rPr>
        <w:t>using multiplex polymerase chain reaction (MT-</w:t>
      </w:r>
      <w:r w:rsidR="002C0D67" w:rsidRPr="002E2445">
        <w:rPr>
          <w:sz w:val="18"/>
          <w:szCs w:val="18"/>
        </w:rPr>
        <w:t>PCR)</w:t>
      </w:r>
      <w:r w:rsidR="002C0D67">
        <w:rPr>
          <w:sz w:val="18"/>
          <w:szCs w:val="18"/>
        </w:rPr>
        <w:t xml:space="preserve"> and</w:t>
      </w:r>
      <w:r w:rsidR="002E2445">
        <w:rPr>
          <w:sz w:val="18"/>
          <w:szCs w:val="18"/>
        </w:rPr>
        <w:t xml:space="preserve"> Sanger sequencing. </w:t>
      </w:r>
    </w:p>
    <w:p w:rsidR="00427C5F" w:rsidRPr="00427C5F" w:rsidRDefault="00427C5F" w:rsidP="002C0D67">
      <w:pPr>
        <w:rPr>
          <w:sz w:val="18"/>
          <w:szCs w:val="18"/>
        </w:rPr>
      </w:pPr>
      <w:r w:rsidRPr="002C0D67">
        <w:rPr>
          <w:b/>
          <w:bCs/>
          <w:sz w:val="18"/>
          <w:szCs w:val="18"/>
        </w:rPr>
        <w:t>Results:</w:t>
      </w:r>
      <w:r w:rsidRPr="00427C5F">
        <w:rPr>
          <w:sz w:val="18"/>
          <w:szCs w:val="18"/>
        </w:rPr>
        <w:t xml:space="preserve"> The </w:t>
      </w:r>
      <w:r w:rsidR="002E2445" w:rsidRPr="002C0D67">
        <w:rPr>
          <w:sz w:val="18"/>
          <w:szCs w:val="18"/>
        </w:rPr>
        <w:t>JAK2 exon 12 mutations were determined to exist in 4.6% of all patients with MPNs. The prevalence of mutations was 9.4% for PV. We found 6 out of 21 JAK2 exons 14 (V617F)-negative PV patients carried JAK2 exon 12 mutations.</w:t>
      </w:r>
      <w:r w:rsidR="002E2445" w:rsidRPr="002C0D67">
        <w:rPr>
          <w:sz w:val="18"/>
          <w:szCs w:val="18"/>
        </w:rPr>
        <w:t xml:space="preserve"> </w:t>
      </w:r>
      <w:r w:rsidR="002E2445" w:rsidRPr="002C0D67">
        <w:rPr>
          <w:sz w:val="18"/>
          <w:szCs w:val="18"/>
        </w:rPr>
        <w:t xml:space="preserve">the presence of JAK2 exon 12 mutations was found to be significantly associated with high </w:t>
      </w:r>
      <w:proofErr w:type="spellStart"/>
      <w:r w:rsidR="002E2445" w:rsidRPr="002C0D67">
        <w:rPr>
          <w:sz w:val="18"/>
          <w:szCs w:val="18"/>
        </w:rPr>
        <w:t>Hb</w:t>
      </w:r>
      <w:proofErr w:type="spellEnd"/>
      <w:r w:rsidR="002E2445" w:rsidRPr="002C0D67">
        <w:rPr>
          <w:sz w:val="18"/>
          <w:szCs w:val="18"/>
        </w:rPr>
        <w:t xml:space="preserve"> concentration (P=.000) and HCT (P=.000) in PV negative </w:t>
      </w:r>
      <w:r w:rsidR="002E2445" w:rsidRPr="002C0D67">
        <w:rPr>
          <w:sz w:val="18"/>
          <w:szCs w:val="18"/>
        </w:rPr>
        <w:t>V617F exon 14</w:t>
      </w:r>
      <w:r w:rsidR="002E2445" w:rsidRPr="002C0D67">
        <w:rPr>
          <w:sz w:val="18"/>
          <w:szCs w:val="18"/>
        </w:rPr>
        <w:t xml:space="preserve"> patients. </w:t>
      </w:r>
      <w:r w:rsidRPr="00427C5F">
        <w:rPr>
          <w:sz w:val="18"/>
          <w:szCs w:val="18"/>
        </w:rPr>
        <w:t xml:space="preserve"> </w:t>
      </w:r>
    </w:p>
    <w:p w:rsidR="00427C5F" w:rsidRPr="00427C5F" w:rsidRDefault="00427C5F" w:rsidP="002C0D67">
      <w:pPr>
        <w:rPr>
          <w:sz w:val="18"/>
          <w:szCs w:val="18"/>
        </w:rPr>
      </w:pPr>
      <w:r w:rsidRPr="00427C5F">
        <w:rPr>
          <w:b/>
          <w:bCs/>
          <w:sz w:val="18"/>
          <w:szCs w:val="18"/>
        </w:rPr>
        <w:t>Conclusions:</w:t>
      </w:r>
      <w:r w:rsidRPr="00427C5F">
        <w:rPr>
          <w:sz w:val="18"/>
          <w:szCs w:val="18"/>
        </w:rPr>
        <w:t xml:space="preserve"> The JAK2 </w:t>
      </w:r>
      <w:r w:rsidR="002C0D67">
        <w:rPr>
          <w:sz w:val="18"/>
          <w:szCs w:val="18"/>
        </w:rPr>
        <w:t>Exon 12</w:t>
      </w:r>
      <w:r w:rsidRPr="00427C5F">
        <w:rPr>
          <w:sz w:val="18"/>
          <w:szCs w:val="18"/>
        </w:rPr>
        <w:t xml:space="preserve"> mutation</w:t>
      </w:r>
      <w:r w:rsidR="002C0D67">
        <w:rPr>
          <w:sz w:val="18"/>
          <w:szCs w:val="18"/>
        </w:rPr>
        <w:t>s</w:t>
      </w:r>
      <w:r w:rsidRPr="00427C5F">
        <w:rPr>
          <w:sz w:val="18"/>
          <w:szCs w:val="18"/>
        </w:rPr>
        <w:t xml:space="preserve"> could be frequently detected in the Sudanese patients with </w:t>
      </w:r>
      <w:r w:rsidR="002C0D67">
        <w:rPr>
          <w:sz w:val="18"/>
          <w:szCs w:val="18"/>
        </w:rPr>
        <w:t xml:space="preserve">Polycythemia </w:t>
      </w:r>
      <w:r w:rsidR="002C0D67" w:rsidRPr="002E2445">
        <w:rPr>
          <w:sz w:val="18"/>
          <w:szCs w:val="18"/>
        </w:rPr>
        <w:t>negative for JAK2 V617F</w:t>
      </w:r>
      <w:r w:rsidR="002C0D67">
        <w:rPr>
          <w:sz w:val="18"/>
          <w:szCs w:val="18"/>
        </w:rPr>
        <w:t xml:space="preserve"> Exon 14.</w:t>
      </w:r>
    </w:p>
    <w:p w:rsidR="00AE3E37" w:rsidRDefault="00AE3E37" w:rsidP="00427C5F">
      <w:pPr>
        <w:pStyle w:val="BodyText"/>
        <w:spacing w:before="90" w:line="280" w:lineRule="auto"/>
        <w:jc w:val="both"/>
      </w:pPr>
    </w:p>
    <w:p w:rsidR="005973B9" w:rsidRPr="00427C5F" w:rsidRDefault="00A9710C" w:rsidP="00427C5F">
      <w:pPr>
        <w:pStyle w:val="Heading3"/>
        <w:spacing w:before="74"/>
      </w:pPr>
      <w:r>
        <w:rPr>
          <w:b w:val="0"/>
        </w:rPr>
        <w:br w:type="column"/>
      </w:r>
    </w:p>
    <w:p w:rsidR="00B27BE8" w:rsidRDefault="00B27BE8" w:rsidP="008756E6">
      <w:pPr>
        <w:tabs>
          <w:tab w:val="left" w:pos="384"/>
        </w:tabs>
        <w:ind w:right="117"/>
      </w:pPr>
      <w:r>
        <w:rPr>
          <w:rFonts w:asciiTheme="majorBidi" w:hAnsiTheme="majorBidi" w:cstheme="majorBidi"/>
          <w:noProof/>
          <w:sz w:val="24"/>
          <w:szCs w:val="24"/>
        </w:rPr>
        <w:drawing>
          <wp:inline distT="0" distB="0" distL="0" distR="0" wp14:anchorId="3DB686D6" wp14:editId="1E5FA01A">
            <wp:extent cx="1619250" cy="454400"/>
            <wp:effectExtent l="0" t="0" r="0" b="317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d typ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5393" cy="467349"/>
                    </a:xfrm>
                    <a:prstGeom prst="rect">
                      <a:avLst/>
                    </a:prstGeom>
                  </pic:spPr>
                </pic:pic>
              </a:graphicData>
            </a:graphic>
          </wp:inline>
        </w:drawing>
      </w:r>
      <w:r>
        <w:t xml:space="preserve">  </w:t>
      </w:r>
      <w:r>
        <w:rPr>
          <w:noProof/>
        </w:rPr>
        <w:drawing>
          <wp:inline distT="0" distB="0" distL="0" distR="0" wp14:anchorId="4EC5E527" wp14:editId="18F4D573">
            <wp:extent cx="1492250" cy="537737"/>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 1 EXON 12.jpg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50408" cy="558695"/>
                    </a:xfrm>
                    <a:prstGeom prst="rect">
                      <a:avLst/>
                    </a:prstGeom>
                  </pic:spPr>
                </pic:pic>
              </a:graphicData>
            </a:graphic>
          </wp:inline>
        </w:drawing>
      </w:r>
    </w:p>
    <w:p w:rsidR="00B27BE8" w:rsidRDefault="00B27BE8" w:rsidP="008756E6">
      <w:pPr>
        <w:tabs>
          <w:tab w:val="left" w:pos="384"/>
        </w:tabs>
        <w:ind w:right="117"/>
      </w:pPr>
    </w:p>
    <w:p w:rsidR="00B27BE8" w:rsidRDefault="00B27BE8" w:rsidP="008756E6">
      <w:pPr>
        <w:tabs>
          <w:tab w:val="left" w:pos="384"/>
        </w:tabs>
        <w:ind w:right="117"/>
      </w:pPr>
    </w:p>
    <w:p w:rsidR="00B27BE8" w:rsidRDefault="00B27BE8" w:rsidP="008756E6">
      <w:pPr>
        <w:tabs>
          <w:tab w:val="left" w:pos="384"/>
        </w:tabs>
        <w:ind w:right="117"/>
      </w:pPr>
      <w:r>
        <w:rPr>
          <w:rFonts w:asciiTheme="majorBidi" w:hAnsiTheme="majorBidi" w:cstheme="majorBidi"/>
          <w:noProof/>
          <w:sz w:val="24"/>
          <w:szCs w:val="24"/>
        </w:rPr>
        <w:drawing>
          <wp:inline distT="0" distB="0" distL="0" distR="0" wp14:anchorId="020085F1" wp14:editId="691F2B8A">
            <wp:extent cx="1619250" cy="500946"/>
            <wp:effectExtent l="0" t="0" r="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tant set1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3038" cy="526867"/>
                    </a:xfrm>
                    <a:prstGeom prst="rect">
                      <a:avLst/>
                    </a:prstGeom>
                  </pic:spPr>
                </pic:pic>
              </a:graphicData>
            </a:graphic>
          </wp:inline>
        </w:drawing>
      </w:r>
      <w:r>
        <w:rPr>
          <w:noProof/>
        </w:rPr>
        <w:drawing>
          <wp:inline distT="0" distB="0" distL="0" distR="0" wp14:anchorId="3C719FDC" wp14:editId="6E0E9B94">
            <wp:extent cx="1574800" cy="578714"/>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1 2.jpg 2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7134" cy="586921"/>
                    </a:xfrm>
                    <a:prstGeom prst="rect">
                      <a:avLst/>
                    </a:prstGeom>
                  </pic:spPr>
                </pic:pic>
              </a:graphicData>
            </a:graphic>
          </wp:inline>
        </w:drawing>
      </w:r>
    </w:p>
    <w:p w:rsidR="00B27BE8" w:rsidRDefault="00B27BE8" w:rsidP="008756E6">
      <w:pPr>
        <w:tabs>
          <w:tab w:val="left" w:pos="384"/>
        </w:tabs>
        <w:ind w:right="117"/>
      </w:pPr>
    </w:p>
    <w:p w:rsidR="00AE3E37" w:rsidRDefault="00B27BE8" w:rsidP="008756E6">
      <w:pPr>
        <w:tabs>
          <w:tab w:val="left" w:pos="384"/>
        </w:tabs>
        <w:ind w:right="117"/>
      </w:pPr>
      <w:r>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015103FC" wp14:editId="1C128D0D">
                <wp:simplePos x="0" y="0"/>
                <wp:positionH relativeFrom="column">
                  <wp:posOffset>-1270</wp:posOffset>
                </wp:positionH>
                <wp:positionV relativeFrom="paragraph">
                  <wp:posOffset>387985</wp:posOffset>
                </wp:positionV>
                <wp:extent cx="3276600" cy="1549400"/>
                <wp:effectExtent l="0" t="0" r="19050" b="12700"/>
                <wp:wrapNone/>
                <wp:docPr id="21" name="Text Box 21"/>
                <wp:cNvGraphicFramePr/>
                <a:graphic xmlns:a="http://schemas.openxmlformats.org/drawingml/2006/main">
                  <a:graphicData uri="http://schemas.microsoft.com/office/word/2010/wordprocessingShape">
                    <wps:wsp>
                      <wps:cNvSpPr txBox="1"/>
                      <wps:spPr>
                        <a:xfrm>
                          <a:off x="0" y="0"/>
                          <a:ext cx="3276600" cy="1549400"/>
                        </a:xfrm>
                        <a:prstGeom prst="rect">
                          <a:avLst/>
                        </a:prstGeom>
                        <a:ln>
                          <a:solidFill>
                            <a:schemeClr val="bg1"/>
                          </a:solidFill>
                        </a:ln>
                      </wps:spPr>
                      <wps:style>
                        <a:lnRef idx="2">
                          <a:schemeClr val="accent1"/>
                        </a:lnRef>
                        <a:fillRef idx="1">
                          <a:schemeClr val="lt1"/>
                        </a:fillRef>
                        <a:effectRef idx="0">
                          <a:schemeClr val="accent1"/>
                        </a:effectRef>
                        <a:fontRef idx="minor">
                          <a:schemeClr val="dk1"/>
                        </a:fontRef>
                      </wps:style>
                      <wps:txbx>
                        <w:txbxContent>
                          <w:p w:rsidR="00B27BE8" w:rsidRPr="00B27BE8" w:rsidRDefault="00B27BE8" w:rsidP="00B27BE8">
                            <w:pPr>
                              <w:rPr>
                                <w:sz w:val="18"/>
                                <w:szCs w:val="18"/>
                              </w:rPr>
                            </w:pPr>
                            <w:r w:rsidRPr="00B27BE8">
                              <w:rPr>
                                <w:sz w:val="18"/>
                                <w:szCs w:val="18"/>
                              </w:rPr>
                              <w:t>Fig</w:t>
                            </w:r>
                            <w:r>
                              <w:rPr>
                                <w:sz w:val="18"/>
                                <w:szCs w:val="18"/>
                              </w:rPr>
                              <w:t xml:space="preserve">. </w:t>
                            </w:r>
                            <w:r w:rsidRPr="00B27BE8">
                              <w:rPr>
                                <w:sz w:val="18"/>
                                <w:szCs w:val="18"/>
                              </w:rPr>
                              <w:t xml:space="preserve">PCR amplification and sequencing of DNA from patients’ blood samples using multiplex PCR (MT-PCR). A) Represent the normal control wild type sequencing of JAK2 exon 12. B) Represent the set 1 (the specific primers; K539L (342 </w:t>
                            </w:r>
                            <w:proofErr w:type="spellStart"/>
                            <w:r w:rsidRPr="00B27BE8">
                              <w:rPr>
                                <w:sz w:val="18"/>
                                <w:szCs w:val="18"/>
                              </w:rPr>
                              <w:t>bp</w:t>
                            </w:r>
                            <w:proofErr w:type="spellEnd"/>
                            <w:r w:rsidRPr="00B27BE8">
                              <w:rPr>
                                <w:sz w:val="18"/>
                                <w:szCs w:val="18"/>
                              </w:rPr>
                              <w:t xml:space="preserve">) and H538QK539L (348 </w:t>
                            </w:r>
                            <w:proofErr w:type="spellStart"/>
                            <w:r w:rsidRPr="00B27BE8">
                              <w:rPr>
                                <w:sz w:val="18"/>
                                <w:szCs w:val="18"/>
                              </w:rPr>
                              <w:t>bp</w:t>
                            </w:r>
                            <w:proofErr w:type="spellEnd"/>
                            <w:r w:rsidRPr="00B27BE8">
                              <w:rPr>
                                <w:sz w:val="18"/>
                                <w:szCs w:val="18"/>
                              </w:rPr>
                              <w:t xml:space="preserve">). C) represent postive mutant deletion sequencing. D) Represent set2 (the specific primer N542-E543 (342 </w:t>
                            </w:r>
                            <w:proofErr w:type="spellStart"/>
                            <w:r w:rsidRPr="00B27BE8">
                              <w:rPr>
                                <w:sz w:val="18"/>
                                <w:szCs w:val="18"/>
                              </w:rPr>
                              <w:t>bp</w:t>
                            </w:r>
                            <w:proofErr w:type="spellEnd"/>
                            <w:r w:rsidRPr="00B27BE8">
                              <w:rPr>
                                <w:sz w:val="18"/>
                                <w:szCs w:val="18"/>
                              </w:rPr>
                              <w:t xml:space="preserve">)). E) Represent positive mutant deletion sequencing.  C = negative control, M = DNA </w:t>
                            </w:r>
                            <w:proofErr w:type="spellStart"/>
                            <w:proofErr w:type="gramStart"/>
                            <w:r w:rsidRPr="00B27BE8">
                              <w:rPr>
                                <w:sz w:val="18"/>
                                <w:szCs w:val="18"/>
                              </w:rPr>
                              <w:t>ladder.B</w:t>
                            </w:r>
                            <w:proofErr w:type="spellEnd"/>
                            <w:proofErr w:type="gramEnd"/>
                            <w:r w:rsidRPr="00B27BE8">
                              <w:rPr>
                                <w:sz w:val="18"/>
                                <w:szCs w:val="18"/>
                              </w:rPr>
                              <w:t xml:space="preserve">) Sanger sequencing of DNA from patients showing mutants by PCR amplification. </w:t>
                            </w:r>
                          </w:p>
                          <w:p w:rsidR="00B27BE8" w:rsidRPr="00B27BE8" w:rsidRDefault="00B27BE8" w:rsidP="00B27BE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5103FC" id="_x0000_t202" coordsize="21600,21600" o:spt="202" path="m,l,21600r21600,l21600,xe">
                <v:stroke joinstyle="miter"/>
                <v:path gradientshapeok="t" o:connecttype="rect"/>
              </v:shapetype>
              <v:shape id="Text Box 21" o:spid="_x0000_s1026" type="#_x0000_t202" style="position:absolute;margin-left:-.1pt;margin-top:30.55pt;width:258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" fillcolor="white [3201]" strokecolor="white [3212]" strokeweight="2pt">
                <v:textbox>
                  <w:txbxContent>
                    <w:p w:rsidR="00B27BE8" w:rsidRPr="00B27BE8" w:rsidRDefault="00B27BE8" w:rsidP="00B27BE8">
                      <w:pPr>
                        <w:rPr>
                          <w:sz w:val="18"/>
                          <w:szCs w:val="18"/>
                        </w:rPr>
                      </w:pPr>
                      <w:r w:rsidRPr="00B27BE8">
                        <w:rPr>
                          <w:sz w:val="18"/>
                          <w:szCs w:val="18"/>
                        </w:rPr>
                        <w:t>Fig</w:t>
                      </w:r>
                      <w:r>
                        <w:rPr>
                          <w:sz w:val="18"/>
                          <w:szCs w:val="18"/>
                        </w:rPr>
                        <w:t xml:space="preserve">. </w:t>
                      </w:r>
                      <w:r w:rsidRPr="00B27BE8">
                        <w:rPr>
                          <w:sz w:val="18"/>
                          <w:szCs w:val="18"/>
                        </w:rPr>
                        <w:t xml:space="preserve">PCR amplification and sequencing of DNA from patients’ blood samples using multiplex PCR (MT-PCR). A) Represent the normal control wild type sequencing of JAK2 exon 12. B) Represent the set 1 (the specific primers; K539L (342 </w:t>
                      </w:r>
                      <w:proofErr w:type="spellStart"/>
                      <w:r w:rsidRPr="00B27BE8">
                        <w:rPr>
                          <w:sz w:val="18"/>
                          <w:szCs w:val="18"/>
                        </w:rPr>
                        <w:t>bp</w:t>
                      </w:r>
                      <w:proofErr w:type="spellEnd"/>
                      <w:r w:rsidRPr="00B27BE8">
                        <w:rPr>
                          <w:sz w:val="18"/>
                          <w:szCs w:val="18"/>
                        </w:rPr>
                        <w:t xml:space="preserve">) and H538QK539L (348 </w:t>
                      </w:r>
                      <w:proofErr w:type="spellStart"/>
                      <w:r w:rsidRPr="00B27BE8">
                        <w:rPr>
                          <w:sz w:val="18"/>
                          <w:szCs w:val="18"/>
                        </w:rPr>
                        <w:t>bp</w:t>
                      </w:r>
                      <w:proofErr w:type="spellEnd"/>
                      <w:r w:rsidRPr="00B27BE8">
                        <w:rPr>
                          <w:sz w:val="18"/>
                          <w:szCs w:val="18"/>
                        </w:rPr>
                        <w:t xml:space="preserve">). C) represent postive mutant deletion sequencing. D) Represent set2 (the specific primer N542-E543 (342 </w:t>
                      </w:r>
                      <w:proofErr w:type="spellStart"/>
                      <w:r w:rsidRPr="00B27BE8">
                        <w:rPr>
                          <w:sz w:val="18"/>
                          <w:szCs w:val="18"/>
                        </w:rPr>
                        <w:t>bp</w:t>
                      </w:r>
                      <w:proofErr w:type="spellEnd"/>
                      <w:r w:rsidRPr="00B27BE8">
                        <w:rPr>
                          <w:sz w:val="18"/>
                          <w:szCs w:val="18"/>
                        </w:rPr>
                        <w:t xml:space="preserve">)). E) Represent positive mutant deletion sequencing.  C = negative control, M = DNA </w:t>
                      </w:r>
                      <w:proofErr w:type="spellStart"/>
                      <w:proofErr w:type="gramStart"/>
                      <w:r w:rsidRPr="00B27BE8">
                        <w:rPr>
                          <w:sz w:val="18"/>
                          <w:szCs w:val="18"/>
                        </w:rPr>
                        <w:t>ladder.B</w:t>
                      </w:r>
                      <w:proofErr w:type="spellEnd"/>
                      <w:proofErr w:type="gramEnd"/>
                      <w:r w:rsidRPr="00B27BE8">
                        <w:rPr>
                          <w:sz w:val="18"/>
                          <w:szCs w:val="18"/>
                        </w:rPr>
                        <w:t xml:space="preserve">) Sanger sequencing of DNA from patients showing mutants by PCR amplification. </w:t>
                      </w:r>
                    </w:p>
                    <w:p w:rsidR="00B27BE8" w:rsidRPr="00B27BE8" w:rsidRDefault="00B27BE8" w:rsidP="00B27BE8">
                      <w:pPr>
                        <w:rPr>
                          <w:sz w:val="18"/>
                          <w:szCs w:val="18"/>
                        </w:rPr>
                      </w:pPr>
                    </w:p>
                  </w:txbxContent>
                </v:textbox>
              </v:shape>
            </w:pict>
          </mc:Fallback>
        </mc:AlternateContent>
      </w:r>
      <w:r>
        <w:rPr>
          <w:rFonts w:asciiTheme="majorBidi" w:hAnsiTheme="majorBidi" w:cstheme="majorBidi"/>
          <w:noProof/>
          <w:sz w:val="24"/>
          <w:szCs w:val="24"/>
        </w:rPr>
        <w:drawing>
          <wp:inline distT="0" distB="0" distL="0" distR="0" wp14:anchorId="5DD3552F" wp14:editId="0F77DAE5">
            <wp:extent cx="1492250" cy="38532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tant set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25584" cy="393936"/>
                    </a:xfrm>
                    <a:prstGeom prst="rect">
                      <a:avLst/>
                    </a:prstGeom>
                  </pic:spPr>
                </pic:pic>
              </a:graphicData>
            </a:graphic>
          </wp:inline>
        </w:drawing>
      </w:r>
      <w:r>
        <w:t xml:space="preserve"> </w:t>
      </w:r>
    </w:p>
    <w:p w:rsidR="00B27BE8" w:rsidRPr="008756E6" w:rsidRDefault="00B27BE8"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2062E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77670" w:rsidRDefault="00677670" w:rsidP="00677670">
      <w:pPr>
        <w:spacing w:before="41" w:line="154" w:lineRule="exact"/>
        <w:ind w:left="213" w:right="231"/>
        <w:jc w:val="both"/>
        <w:rPr>
          <w:rFonts w:ascii="Arial"/>
          <w:sz w:val="14"/>
        </w:rPr>
      </w:pPr>
      <w:proofErr w:type="spellStart"/>
      <w:r>
        <w:rPr>
          <w:rFonts w:ascii="Arial"/>
          <w:sz w:val="14"/>
        </w:rPr>
        <w:t>Mr</w:t>
      </w:r>
      <w:proofErr w:type="spellEnd"/>
      <w:r w:rsidR="0078738A">
        <w:rPr>
          <w:rFonts w:ascii="Arial"/>
          <w:sz w:val="14"/>
        </w:rPr>
        <w:t xml:space="preserve"> </w:t>
      </w:r>
      <w:r w:rsidR="00A9710C">
        <w:rPr>
          <w:rFonts w:ascii="Arial"/>
          <w:sz w:val="14"/>
        </w:rPr>
        <w:t xml:space="preserve">has expertise </w:t>
      </w:r>
      <w:r w:rsidRPr="00677670">
        <w:rPr>
          <w:rFonts w:ascii="Arial"/>
          <w:sz w:val="14"/>
        </w:rPr>
        <w:t>Laboratory Technologist with a demonstrated history of working in the higher education industry. Skilled in lecturing, medical laboratory, Stem Cells, Sequence Analysis, DNA Sequencing, Real-Time Polymerase Chain Reaction (qPCR), Epidemiology and clinical research. Strong medical laboratory scientist professional with a Master's degree focused in medical laboratory science hematology specialization from University of Medical Sciences &amp; Technology (UMST).</w:t>
      </w:r>
    </w:p>
    <w:p w:rsidR="00AE3E37" w:rsidRDefault="00A9710C" w:rsidP="00677670">
      <w:pPr>
        <w:spacing w:before="41" w:line="154" w:lineRule="exact"/>
        <w:ind w:left="213" w:right="231"/>
        <w:jc w:val="center"/>
        <w:rPr>
          <w:rFonts w:ascii="Arial"/>
          <w:sz w:val="14"/>
        </w:rPr>
      </w:pPr>
      <w:r>
        <w:rPr>
          <w:rFonts w:ascii="Arial"/>
          <w:sz w:val="14"/>
        </w:rPr>
        <w:t xml:space="preserve">Email: </w:t>
      </w:r>
      <w:hyperlink r:id="rId15" w:history="1">
        <w:r w:rsidR="00677670" w:rsidRPr="00714569">
          <w:rPr>
            <w:rStyle w:val="Hyperlink"/>
            <w:rFonts w:ascii="Arial"/>
            <w:sz w:val="14"/>
          </w:rPr>
          <w:t>rashed2t@hotmail.com</w:t>
        </w:r>
      </w:hyperlink>
      <w:r w:rsidR="00677670">
        <w:rPr>
          <w:rFonts w:ascii="Arial"/>
          <w:sz w:val="14"/>
        </w:rPr>
        <w:t xml:space="preserve"> </w:t>
      </w:r>
    </w:p>
    <w:p w:rsidR="00677670" w:rsidRDefault="00677670" w:rsidP="00677670">
      <w:pPr>
        <w:spacing w:before="41" w:line="154" w:lineRule="exact"/>
        <w:ind w:left="213" w:right="231"/>
        <w:jc w:val="center"/>
        <w:rPr>
          <w:rFonts w:ascii="Arial"/>
          <w:sz w:val="14"/>
        </w:rPr>
      </w:pPr>
      <w:r>
        <w:rPr>
          <w:rFonts w:ascii="Arial"/>
          <w:sz w:val="14"/>
        </w:rPr>
        <w:t xml:space="preserve">       </w:t>
      </w:r>
      <w:hyperlink r:id="rId16" w:history="1">
        <w:r w:rsidRPr="00714569">
          <w:rPr>
            <w:rStyle w:val="Hyperlink"/>
            <w:rFonts w:ascii="Arial"/>
            <w:sz w:val="14"/>
          </w:rPr>
          <w:t>eyasin@kau.edu.sa</w:t>
        </w:r>
      </w:hyperlink>
      <w:r>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AA2BC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3CE" w:rsidRDefault="008873CE">
      <w:r>
        <w:separator/>
      </w:r>
    </w:p>
  </w:endnote>
  <w:endnote w:type="continuationSeparator" w:id="0">
    <w:p w:rsidR="008873CE" w:rsidRDefault="00887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dvPSHVCB">
    <w:altName w:val="Times New Roman"/>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BEC1018" wp14:editId="2A325F8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EC1018"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988A7B8" wp14:editId="3A97359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8A7B8"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5EF52A5" wp14:editId="594262A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F52A5"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3CE" w:rsidRDefault="008873CE">
      <w:r>
        <w:separator/>
      </w:r>
    </w:p>
  </w:footnote>
  <w:footnote w:type="continuationSeparator" w:id="0">
    <w:p w:rsidR="008873CE" w:rsidRDefault="008873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48DAE0A" wp14:editId="6A5A7D6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8DAE0A"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C8A25CC" wp14:editId="4AD8D83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A25CC"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4233"/>
    <w:rsid w:val="000E2911"/>
    <w:rsid w:val="001263DF"/>
    <w:rsid w:val="001E763C"/>
    <w:rsid w:val="00292ED9"/>
    <w:rsid w:val="002C0D67"/>
    <w:rsid w:val="002E2445"/>
    <w:rsid w:val="00314AFB"/>
    <w:rsid w:val="003B76D9"/>
    <w:rsid w:val="00404E5B"/>
    <w:rsid w:val="00414F7B"/>
    <w:rsid w:val="00427C5F"/>
    <w:rsid w:val="004355DC"/>
    <w:rsid w:val="004749B4"/>
    <w:rsid w:val="00494130"/>
    <w:rsid w:val="004F3523"/>
    <w:rsid w:val="005973B9"/>
    <w:rsid w:val="005B3A56"/>
    <w:rsid w:val="006060CE"/>
    <w:rsid w:val="0063497F"/>
    <w:rsid w:val="00677670"/>
    <w:rsid w:val="0078738A"/>
    <w:rsid w:val="00873DF0"/>
    <w:rsid w:val="008756E6"/>
    <w:rsid w:val="008873CE"/>
    <w:rsid w:val="009B2D44"/>
    <w:rsid w:val="00A07E82"/>
    <w:rsid w:val="00A9710C"/>
    <w:rsid w:val="00AE3E37"/>
    <w:rsid w:val="00B21A57"/>
    <w:rsid w:val="00B27BE8"/>
    <w:rsid w:val="00BA2FAB"/>
    <w:rsid w:val="00C33602"/>
    <w:rsid w:val="00CD6F55"/>
    <w:rsid w:val="00D62425"/>
    <w:rsid w:val="00D709C3"/>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4FF308"/>
  <w15:docId w15:val="{0207D15A-D625-4EB1-9438-B48567A2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2E2445"/>
    <w:rPr>
      <w:rFonts w:ascii="AdvPSHVCB" w:hAnsi="AdvPSHVCB" w:hint="default"/>
      <w:b w:val="0"/>
      <w:bCs w:val="0"/>
      <w:i w:val="0"/>
      <w:iCs w:val="0"/>
      <w:color w:val="24202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64738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yasin@kau.edu.s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mailto:rashed2t@hotmail.com"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rasheed yassin</cp:lastModifiedBy>
  <cp:revision>2</cp:revision>
  <dcterms:created xsi:type="dcterms:W3CDTF">2019-05-02T06:50:00Z</dcterms:created>
  <dcterms:modified xsi:type="dcterms:W3CDTF">2019-05-02T06:50:00Z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