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417FC0" w14:textId="3D7C3A0B" w:rsidR="001B27C4" w:rsidRPr="001B27C4" w:rsidRDefault="00E8252F" w:rsidP="001B27C4">
      <w:pPr>
        <w:pStyle w:val="Heading1"/>
        <w:spacing w:before="170"/>
        <w:ind w:left="0"/>
        <w:rPr>
          <w:color w:val="337AB7"/>
        </w:rPr>
      </w:pPr>
      <w:r>
        <w:rPr>
          <w:color w:val="337AB7"/>
        </w:rPr>
        <w:t>Receptor</w:t>
      </w:r>
      <w:r w:rsidR="001B27C4">
        <w:rPr>
          <w:color w:val="337AB7"/>
        </w:rPr>
        <w:t xml:space="preserve"> binding of a novel </w:t>
      </w:r>
      <w:r>
        <w:rPr>
          <w:color w:val="337AB7"/>
        </w:rPr>
        <w:t xml:space="preserve">bifunctional </w:t>
      </w:r>
      <w:r w:rsidR="001B27C4">
        <w:rPr>
          <w:color w:val="337AB7"/>
        </w:rPr>
        <w:t>TGF-</w:t>
      </w:r>
      <m:oMath>
        <m:r>
          <m:rPr>
            <m:sty m:val="bi"/>
          </m:rPr>
          <w:rPr>
            <w:rFonts w:ascii="Cambria Math" w:hAnsi="Cambria Math"/>
            <w:color w:val="337AB7"/>
          </w:rPr>
          <m:t>β</m:t>
        </m:r>
      </m:oMath>
      <w:r w:rsidR="001B27C4">
        <w:rPr>
          <w:color w:val="337AB7"/>
        </w:rPr>
        <w:t xml:space="preserve">1/PD-L1 fusion protein </w:t>
      </w:r>
      <w:r w:rsidR="002E0E89">
        <w:rPr>
          <w:color w:val="337AB7"/>
        </w:rPr>
        <w:t>elicit</w:t>
      </w:r>
      <w:r w:rsidR="00407728">
        <w:rPr>
          <w:color w:val="337AB7"/>
        </w:rPr>
        <w:t>ed</w:t>
      </w:r>
      <w:r w:rsidR="002E0E89">
        <w:rPr>
          <w:color w:val="337AB7"/>
        </w:rPr>
        <w:t xml:space="preserve"> a down-regulated immune signature</w:t>
      </w:r>
    </w:p>
    <w:p w14:paraId="5DF4E878" w14:textId="13E3F595" w:rsidR="002E0E89" w:rsidRPr="00266E80" w:rsidRDefault="002E0E89" w:rsidP="002E0E89">
      <w:pPr>
        <w:pStyle w:val="BodyText"/>
        <w:spacing w:before="73" w:line="198" w:lineRule="exact"/>
        <w:ind w:left="100" w:right="5987"/>
        <w:rPr>
          <w:rFonts w:ascii="Arial"/>
          <w:b/>
        </w:rPr>
      </w:pPr>
      <w:r w:rsidRPr="00266E80">
        <w:rPr>
          <w:rFonts w:ascii="Arial"/>
          <w:b/>
        </w:rPr>
        <w:t>Marvin I. De los Santos</w:t>
      </w:r>
      <w:r w:rsidR="00266E80" w:rsidRPr="00266E80">
        <w:rPr>
          <w:rFonts w:ascii="Arial"/>
          <w:b/>
          <w:vertAlign w:val="superscript"/>
        </w:rPr>
        <w:t>1,2</w:t>
      </w:r>
      <w:r w:rsidR="00266E80" w:rsidRPr="00266E80">
        <w:rPr>
          <w:rFonts w:ascii="Arial"/>
          <w:b/>
        </w:rPr>
        <w:t xml:space="preserve"> &amp; Samuel D. Bernal</w:t>
      </w:r>
      <w:r w:rsidR="00266E80" w:rsidRPr="00266E80">
        <w:rPr>
          <w:rFonts w:ascii="Arial"/>
          <w:b/>
          <w:vertAlign w:val="superscript"/>
        </w:rPr>
        <w:t>2,3</w:t>
      </w:r>
    </w:p>
    <w:p w14:paraId="7EC44446" w14:textId="48E95A3C" w:rsidR="002E0E89" w:rsidRDefault="00266E80" w:rsidP="00266E80">
      <w:pPr>
        <w:pStyle w:val="BodyText"/>
        <w:spacing w:before="73" w:line="198" w:lineRule="exact"/>
        <w:ind w:left="100" w:right="4736"/>
        <w:rPr>
          <w:rFonts w:ascii="Arial"/>
        </w:rPr>
      </w:pPr>
      <w:r w:rsidRPr="00266E80">
        <w:rPr>
          <w:rFonts w:ascii="Arial"/>
          <w:vertAlign w:val="superscript"/>
        </w:rPr>
        <w:t>1</w:t>
      </w:r>
      <w:r w:rsidR="002E0E89">
        <w:rPr>
          <w:rFonts w:ascii="Arial"/>
        </w:rPr>
        <w:t>University of the Philippines Diliman, Quezon City</w:t>
      </w:r>
      <w:r>
        <w:rPr>
          <w:rFonts w:ascii="Arial"/>
        </w:rPr>
        <w:t>, Philippines</w:t>
      </w:r>
    </w:p>
    <w:p w14:paraId="24740E46" w14:textId="7A18D059" w:rsidR="00266E80" w:rsidRDefault="00266E80" w:rsidP="00266E80">
      <w:pPr>
        <w:pStyle w:val="BodyText"/>
        <w:spacing w:before="73" w:line="198" w:lineRule="exact"/>
        <w:ind w:left="100" w:right="4736"/>
        <w:rPr>
          <w:rFonts w:ascii="Arial"/>
        </w:rPr>
      </w:pPr>
      <w:r w:rsidRPr="00266E80">
        <w:rPr>
          <w:rFonts w:ascii="Arial"/>
          <w:vertAlign w:val="superscript"/>
        </w:rPr>
        <w:t>2</w:t>
      </w:r>
      <w:r w:rsidR="002E0E89">
        <w:rPr>
          <w:rFonts w:ascii="Arial"/>
        </w:rPr>
        <w:t xml:space="preserve">GlobeTek Science Foundation, </w:t>
      </w:r>
      <w:r>
        <w:rPr>
          <w:rFonts w:ascii="Arial"/>
        </w:rPr>
        <w:t xml:space="preserve">Makati City, </w:t>
      </w:r>
      <w:r w:rsidR="002E0E89">
        <w:rPr>
          <w:rFonts w:ascii="Arial"/>
        </w:rPr>
        <w:t>Philippines</w:t>
      </w:r>
    </w:p>
    <w:p w14:paraId="32E9AB3E" w14:textId="24FDDD65" w:rsidR="00266E80" w:rsidRPr="00266E80" w:rsidRDefault="00266E80" w:rsidP="00266E80">
      <w:pPr>
        <w:pStyle w:val="BodyText"/>
        <w:spacing w:before="73" w:line="198" w:lineRule="exact"/>
        <w:ind w:left="100" w:right="4736"/>
        <w:rPr>
          <w:rFonts w:ascii="Arial" w:hAnsi="Arial" w:cs="Arial"/>
        </w:rPr>
      </w:pPr>
      <w:r w:rsidRPr="00266E80">
        <w:rPr>
          <w:rFonts w:ascii="Arial" w:hAnsi="Arial" w:cs="Arial"/>
          <w:vertAlign w:val="superscript"/>
        </w:rPr>
        <w:t>3</w:t>
      </w:r>
      <w:r w:rsidRPr="00266E80">
        <w:rPr>
          <w:rFonts w:ascii="Arial" w:hAnsi="Arial" w:cs="Arial"/>
        </w:rPr>
        <w:t xml:space="preserve">Cedars-Sinai Medical Center, Section of Hematology &amp; Oncology, Los </w:t>
      </w:r>
      <w:r>
        <w:rPr>
          <w:rFonts w:ascii="Arial" w:hAnsi="Arial" w:cs="Arial"/>
        </w:rPr>
        <w:t xml:space="preserve">  </w:t>
      </w:r>
      <w:r w:rsidRPr="00266E80">
        <w:rPr>
          <w:rFonts w:ascii="Arial" w:hAnsi="Arial" w:cs="Arial"/>
        </w:rPr>
        <w:t>Angeles, California, USA</w:t>
      </w:r>
    </w:p>
    <w:p w14:paraId="685FBEFD" w14:textId="77777777" w:rsidR="00266E80" w:rsidRPr="00266E80" w:rsidRDefault="00266E80" w:rsidP="00266E80">
      <w:pPr>
        <w:pStyle w:val="BodyText"/>
        <w:spacing w:before="73" w:line="198" w:lineRule="exact"/>
        <w:ind w:left="100" w:right="4736"/>
        <w:rPr>
          <w:rFonts w:ascii="Arial"/>
          <w:lang w:val="en-PH"/>
        </w:rPr>
      </w:pPr>
    </w:p>
    <w:p w14:paraId="5575A0C1" w14:textId="77777777" w:rsidR="001B27C4" w:rsidRDefault="001B27C4" w:rsidP="001B27C4">
      <w:pPr>
        <w:pStyle w:val="BodyText"/>
        <w:rPr>
          <w:rFonts w:ascii="Arial"/>
          <w:sz w:val="20"/>
        </w:rPr>
      </w:pPr>
    </w:p>
    <w:p w14:paraId="7F7DB7A2" w14:textId="77777777" w:rsidR="001B27C4" w:rsidRDefault="001B27C4" w:rsidP="001B27C4">
      <w:pPr>
        <w:rPr>
          <w:rFonts w:ascii="Arial"/>
          <w:sz w:val="21"/>
        </w:rPr>
        <w:sectPr w:rsidR="001B27C4" w:rsidSect="00407728">
          <w:footerReference w:type="default" r:id="rId7"/>
          <w:pgSz w:w="11910" w:h="16840"/>
          <w:pgMar w:top="1134" w:right="600" w:bottom="840" w:left="620" w:header="541" w:footer="642" w:gutter="0"/>
          <w:cols w:space="720"/>
        </w:sectPr>
      </w:pPr>
    </w:p>
    <w:p w14:paraId="14FAC20F" w14:textId="42D6864D" w:rsidR="001B27C4" w:rsidRDefault="001B27C4" w:rsidP="001B27C4">
      <w:pPr>
        <w:pStyle w:val="Heading3"/>
        <w:spacing w:before="147"/>
        <w:jc w:val="both"/>
      </w:pPr>
      <w:r>
        <w:rPr>
          <w:color w:val="BF5A14"/>
        </w:rPr>
        <w:t>Abstract</w:t>
      </w:r>
    </w:p>
    <w:p w14:paraId="0013E7F1" w14:textId="73EF378D" w:rsidR="00F87ACA" w:rsidRDefault="001B27C4" w:rsidP="00B87AC6">
      <w:pPr>
        <w:pStyle w:val="BodyText"/>
        <w:spacing w:before="90" w:line="280" w:lineRule="auto"/>
        <w:ind w:left="100"/>
        <w:jc w:val="both"/>
        <w:rPr>
          <w:bCs/>
        </w:rPr>
      </w:pPr>
      <w:r w:rsidRPr="00791A62">
        <w:t xml:space="preserve">Statement of the Problem: </w:t>
      </w:r>
      <w:r w:rsidR="001F50CB" w:rsidRPr="00791A62">
        <w:t>There are more than 80 clinical distinct types of autoimmune diseases</w:t>
      </w:r>
      <w:r w:rsidR="009F7E8B">
        <w:t xml:space="preserve"> (AID)</w:t>
      </w:r>
      <w:r w:rsidR="001F50CB" w:rsidRPr="00791A62">
        <w:t xml:space="preserve"> and their collective global prevalence ra</w:t>
      </w:r>
      <w:r w:rsidR="00950AAB" w:rsidRPr="00791A62">
        <w:t xml:space="preserve">te </w:t>
      </w:r>
      <w:r w:rsidR="001F50CB" w:rsidRPr="00791A62">
        <w:t xml:space="preserve">have increased to </w:t>
      </w:r>
      <w:r w:rsidR="009447DA">
        <w:t>&gt;</w:t>
      </w:r>
      <w:r w:rsidR="001F50CB" w:rsidRPr="00791A62">
        <w:t xml:space="preserve">10%. </w:t>
      </w:r>
      <w:r w:rsidR="003E2EC2">
        <w:t>Until now</w:t>
      </w:r>
      <w:r w:rsidR="000C03D5">
        <w:t xml:space="preserve">, </w:t>
      </w:r>
      <w:r w:rsidR="003E2EC2">
        <w:t>t</w:t>
      </w:r>
      <w:r w:rsidR="001F50CB" w:rsidRPr="00791A62">
        <w:t xml:space="preserve">reatment regimen has </w:t>
      </w:r>
      <w:r w:rsidR="00412F63" w:rsidRPr="00791A62">
        <w:t>relied</w:t>
      </w:r>
      <w:r w:rsidR="00950AAB" w:rsidRPr="00791A62">
        <w:t xml:space="preserve"> heavily on the use of drugs</w:t>
      </w:r>
      <w:r w:rsidR="00B96C82" w:rsidRPr="00791A62">
        <w:t xml:space="preserve"> (i.e. NSAIDs, glucocorticoids and DMARDs)</w:t>
      </w:r>
      <w:r w:rsidR="00950AAB" w:rsidRPr="00791A62">
        <w:t xml:space="preserve"> that down-regulate the entire</w:t>
      </w:r>
      <w:r w:rsidR="00B96C82" w:rsidRPr="00791A62">
        <w:t xml:space="preserve"> body’s</w:t>
      </w:r>
      <w:r w:rsidR="00950AAB" w:rsidRPr="00791A62">
        <w:t xml:space="preserve"> immune response.</w:t>
      </w:r>
      <w:r w:rsidR="00B96C82" w:rsidRPr="00791A62">
        <w:t xml:space="preserve"> High-dose and long-term medication</w:t>
      </w:r>
      <w:r w:rsidR="00BF116E" w:rsidRPr="00791A62">
        <w:t xml:space="preserve"> </w:t>
      </w:r>
      <w:r w:rsidR="00412F63" w:rsidRPr="00791A62">
        <w:t>with these drugs have been found to correlate with susceptibility to infections</w:t>
      </w:r>
      <w:r w:rsidR="00BF116E" w:rsidRPr="00791A62">
        <w:t xml:space="preserve"> </w:t>
      </w:r>
      <w:r w:rsidR="00412F63" w:rsidRPr="00791A62">
        <w:t xml:space="preserve">and tumorigenesis. </w:t>
      </w:r>
      <w:r w:rsidR="003E2EC2">
        <w:t>Preclinical studies</w:t>
      </w:r>
      <w:r w:rsidR="00791A62">
        <w:t xml:space="preserve"> targeting </w:t>
      </w:r>
      <w:r w:rsidR="003E2EC2">
        <w:t xml:space="preserve">the </w:t>
      </w:r>
      <w:r w:rsidR="00791A62">
        <w:t xml:space="preserve">receptors of transforming growth factor </w:t>
      </w:r>
      <w:r w:rsidR="009447DA">
        <w:t xml:space="preserve">superfamily </w:t>
      </w:r>
      <w:r w:rsidR="00791A62">
        <w:t xml:space="preserve">such as </w:t>
      </w:r>
      <w:r w:rsidR="00791A62" w:rsidRPr="00791A62">
        <w:t>TGF-</w:t>
      </w:r>
      <m:oMath>
        <m:r>
          <w:rPr>
            <w:rFonts w:ascii="Cambria Math" w:hAnsi="Cambria Math"/>
          </w:rPr>
          <m:t>β1</m:t>
        </m:r>
      </m:oMath>
      <w:r w:rsidR="00791A62">
        <w:rPr>
          <w:bCs/>
        </w:rPr>
        <w:t xml:space="preserve"> has implicated </w:t>
      </w:r>
      <w:r w:rsidR="009447DA">
        <w:rPr>
          <w:bCs/>
        </w:rPr>
        <w:t xml:space="preserve">possible use of this molecule in </w:t>
      </w:r>
      <w:r w:rsidR="009F7E8B">
        <w:rPr>
          <w:bCs/>
        </w:rPr>
        <w:t>AID</w:t>
      </w:r>
      <w:r w:rsidR="009447DA">
        <w:rPr>
          <w:bCs/>
        </w:rPr>
        <w:t xml:space="preserve"> management and treatment. However, researchers have reported several drawbacks of targeting </w:t>
      </w:r>
      <w:r w:rsidR="009447DA" w:rsidRPr="00791A62">
        <w:t>TGF-</w:t>
      </w:r>
      <m:oMath>
        <m:r>
          <w:rPr>
            <w:rFonts w:ascii="Cambria Math" w:hAnsi="Cambria Math"/>
          </w:rPr>
          <m:t>β1</m:t>
        </m:r>
      </m:oMath>
      <w:r w:rsidR="009447DA">
        <w:rPr>
          <w:bCs/>
        </w:rPr>
        <w:t xml:space="preserve"> signaling, as </w:t>
      </w:r>
      <w:r w:rsidR="003E2EC2">
        <w:rPr>
          <w:bCs/>
        </w:rPr>
        <w:t>they found</w:t>
      </w:r>
      <w:r w:rsidR="009F7E8B">
        <w:rPr>
          <w:bCs/>
        </w:rPr>
        <w:t xml:space="preserve"> its involvement in</w:t>
      </w:r>
      <w:r w:rsidR="009447DA">
        <w:rPr>
          <w:bCs/>
        </w:rPr>
        <w:t xml:space="preserve"> prevention but not reversal of </w:t>
      </w:r>
      <w:r w:rsidR="009F7E8B">
        <w:rPr>
          <w:bCs/>
        </w:rPr>
        <w:t>AID</w:t>
      </w:r>
      <w:r w:rsidR="009447DA">
        <w:rPr>
          <w:bCs/>
        </w:rPr>
        <w:t xml:space="preserve">. Another group of immune checkpoint protein, the PD-1/PD-L1 axis, has been found to down-regulate immune response and have clinical implications for treatment of </w:t>
      </w:r>
      <w:r w:rsidR="009F7E8B">
        <w:rPr>
          <w:bCs/>
        </w:rPr>
        <w:t>the disease</w:t>
      </w:r>
      <w:r w:rsidR="009447DA">
        <w:rPr>
          <w:bCs/>
        </w:rPr>
        <w:t xml:space="preserve">. This study aims to utilize the combinatorial </w:t>
      </w:r>
      <w:r w:rsidR="0045732F">
        <w:rPr>
          <w:bCs/>
        </w:rPr>
        <w:t xml:space="preserve">immune-downregulating activities of </w:t>
      </w:r>
      <w:r w:rsidR="0045732F" w:rsidRPr="00791A62">
        <w:t>TGF-</w:t>
      </w:r>
      <m:oMath>
        <m:r>
          <w:rPr>
            <w:rFonts w:ascii="Cambria Math" w:hAnsi="Cambria Math"/>
          </w:rPr>
          <m:t>β1</m:t>
        </m:r>
      </m:oMath>
      <w:r w:rsidR="0045732F">
        <w:rPr>
          <w:bCs/>
        </w:rPr>
        <w:t xml:space="preserve"> and PD-L1 by generating a fusion product which has never been described before.</w:t>
      </w:r>
      <w:r w:rsidR="00E8252F">
        <w:rPr>
          <w:bCs/>
        </w:rPr>
        <w:t xml:space="preserve"> Methodology: We were able to previously successfully clone and generate a fusion gene construct of </w:t>
      </w:r>
      <w:r w:rsidR="00E8252F" w:rsidRPr="00791A62">
        <w:t>TGF-</w:t>
      </w:r>
      <m:oMath>
        <m:r>
          <w:rPr>
            <w:rFonts w:ascii="Cambria Math" w:hAnsi="Cambria Math"/>
          </w:rPr>
          <m:t>β1</m:t>
        </m:r>
      </m:oMath>
      <w:r w:rsidR="00E8252F">
        <w:rPr>
          <w:bCs/>
        </w:rPr>
        <w:t xml:space="preserve"> and PD-L</w:t>
      </w:r>
      <w:r w:rsidR="00F87ACA">
        <w:rPr>
          <w:bCs/>
        </w:rPr>
        <w:t>, validated by DNA sequencing</w:t>
      </w:r>
      <w:r w:rsidR="00E8252F">
        <w:rPr>
          <w:bCs/>
        </w:rPr>
        <w:t xml:space="preserve">. The study focused next on characterizing the bifunctional binding of the proteins </w:t>
      </w:r>
      <w:r w:rsidR="000C03D5">
        <w:rPr>
          <w:bCs/>
        </w:rPr>
        <w:t>with</w:t>
      </w:r>
      <w:r w:rsidR="00E8252F">
        <w:rPr>
          <w:bCs/>
        </w:rPr>
        <w:t xml:space="preserve"> their respective receptors by co-immunoprecipitation (co-IP) and reverse co-IP experiments coupled with pathway analysis by </w:t>
      </w:r>
      <w:proofErr w:type="spellStart"/>
      <w:r w:rsidR="00E8252F">
        <w:rPr>
          <w:bCs/>
        </w:rPr>
        <w:t>qRT</w:t>
      </w:r>
      <w:proofErr w:type="spellEnd"/>
      <w:r w:rsidR="00E8252F">
        <w:rPr>
          <w:bCs/>
        </w:rPr>
        <w:t xml:space="preserve">-PCR. Findings and Results: </w:t>
      </w:r>
      <w:r w:rsidR="00F21AAE">
        <w:rPr>
          <w:bCs/>
        </w:rPr>
        <w:t xml:space="preserve">A </w:t>
      </w:r>
      <w:r w:rsidR="00F21AAE">
        <w:rPr>
          <w:rFonts w:eastAsia="Calibri" w:cstheme="minorHAnsi"/>
          <w:bCs/>
        </w:rPr>
        <w:t xml:space="preserve">70 </w:t>
      </w:r>
      <w:proofErr w:type="spellStart"/>
      <w:r w:rsidR="00F21AAE">
        <w:rPr>
          <w:rFonts w:eastAsia="Calibri" w:cstheme="minorHAnsi"/>
          <w:bCs/>
        </w:rPr>
        <w:t>kDa</w:t>
      </w:r>
      <w:proofErr w:type="spellEnd"/>
      <w:r w:rsidR="00F21AAE">
        <w:rPr>
          <w:rFonts w:eastAsia="Calibri" w:cstheme="minorHAnsi"/>
          <w:bCs/>
        </w:rPr>
        <w:t xml:space="preserve"> </w:t>
      </w:r>
      <w:r w:rsidR="00F21AAE" w:rsidRPr="00791A62">
        <w:t>TGF-</w:t>
      </w:r>
      <m:oMath>
        <m:r>
          <w:rPr>
            <w:rFonts w:ascii="Cambria Math" w:hAnsi="Cambria Math"/>
          </w:rPr>
          <m:t>β1</m:t>
        </m:r>
      </m:oMath>
      <w:r w:rsidR="00F21AAE">
        <w:rPr>
          <w:bCs/>
        </w:rPr>
        <w:t xml:space="preserve">/PD-L1 fusion protein </w:t>
      </w:r>
      <w:r w:rsidR="00F21AAE">
        <w:rPr>
          <w:rFonts w:eastAsia="Calibri" w:cstheme="minorHAnsi"/>
          <w:bCs/>
        </w:rPr>
        <w:t>was demonstrated to bind TGF</w:t>
      </w:r>
      <w:r w:rsidR="000C03D5" w:rsidRPr="00791A62">
        <w:t>-</w:t>
      </w:r>
      <m:oMath>
        <m:r>
          <w:rPr>
            <w:rFonts w:ascii="Cambria Math" w:hAnsi="Cambria Math"/>
          </w:rPr>
          <m:t xml:space="preserve">β1 </m:t>
        </m:r>
      </m:oMath>
      <w:r w:rsidR="00F21AAE">
        <w:rPr>
          <w:rFonts w:eastAsia="Calibri" w:cstheme="minorHAnsi"/>
          <w:bCs/>
        </w:rPr>
        <w:t>receptors such as TGF</w:t>
      </w:r>
      <w:r w:rsidR="000C03D5">
        <w:rPr>
          <w:rFonts w:eastAsia="Calibri" w:cstheme="minorHAnsi"/>
          <w:bCs/>
        </w:rPr>
        <w:t>-</w:t>
      </w:r>
      <m:oMath>
        <m:r>
          <w:rPr>
            <w:rFonts w:ascii="Cambria Math" w:hAnsi="Cambria Math"/>
          </w:rPr>
          <m:t xml:space="preserve">β </m:t>
        </m:r>
      </m:oMath>
      <w:r w:rsidR="00F21AAE">
        <w:rPr>
          <w:rFonts w:eastAsia="Calibri" w:cstheme="minorHAnsi"/>
          <w:bCs/>
        </w:rPr>
        <w:t>receptor 1 and PD-L1 target receptor, PD-1</w:t>
      </w:r>
      <w:r w:rsidR="000C03D5">
        <w:rPr>
          <w:rFonts w:eastAsia="Calibri" w:cstheme="minorHAnsi"/>
          <w:bCs/>
        </w:rPr>
        <w:t>,</w:t>
      </w:r>
      <w:r w:rsidR="00F21AAE">
        <w:rPr>
          <w:rFonts w:eastAsia="Calibri" w:cstheme="minorHAnsi"/>
          <w:bCs/>
        </w:rPr>
        <w:t xml:space="preserve"> in co-IP and reverse co-IP experiments. Gene expression analysis showed that these interactions are functional and elicit gene</w:t>
      </w:r>
      <w:r w:rsidR="000C03D5">
        <w:rPr>
          <w:rFonts w:eastAsia="Calibri" w:cstheme="minorHAnsi"/>
          <w:bCs/>
        </w:rPr>
        <w:t xml:space="preserve"> </w:t>
      </w:r>
      <w:r w:rsidR="00F21AAE">
        <w:rPr>
          <w:rFonts w:eastAsia="Calibri" w:cstheme="minorHAnsi"/>
          <w:bCs/>
        </w:rPr>
        <w:t>expression signature that is seen in suppressed immunity</w:t>
      </w:r>
      <w:r w:rsidR="000C03D5">
        <w:rPr>
          <w:rFonts w:eastAsia="Calibri" w:cstheme="minorHAnsi"/>
          <w:bCs/>
        </w:rPr>
        <w:t xml:space="preserve"> using a cell line model</w:t>
      </w:r>
      <w:r w:rsidR="00F21AAE">
        <w:rPr>
          <w:rFonts w:eastAsia="Calibri" w:cstheme="minorHAnsi"/>
          <w:bCs/>
        </w:rPr>
        <w:t>.</w:t>
      </w:r>
      <w:r w:rsidR="000C03D5">
        <w:rPr>
          <w:rFonts w:eastAsia="Calibri" w:cstheme="minorHAnsi"/>
          <w:bCs/>
        </w:rPr>
        <w:t xml:space="preserve"> Conclusion and Significance: </w:t>
      </w:r>
      <w:r w:rsidR="000C03D5" w:rsidRPr="00791A62">
        <w:t>TGF-</w:t>
      </w:r>
      <m:oMath>
        <m:r>
          <w:rPr>
            <w:rFonts w:ascii="Cambria Math" w:hAnsi="Cambria Math"/>
          </w:rPr>
          <m:t>β1</m:t>
        </m:r>
      </m:oMath>
      <w:r w:rsidR="000C03D5">
        <w:rPr>
          <w:bCs/>
        </w:rPr>
        <w:t>/PD-L1 fusion protein may represent a new class of immunotherapy for treatment and management of autoimmune diseases</w:t>
      </w:r>
      <w:r w:rsidR="00407728">
        <w:rPr>
          <w:bCs/>
        </w:rPr>
        <w:t xml:space="preserve"> in the future.</w:t>
      </w:r>
    </w:p>
    <w:p w14:paraId="3B332006" w14:textId="77777777" w:rsidR="00B87AC6" w:rsidRPr="00B87AC6" w:rsidRDefault="00B87AC6" w:rsidP="00266E80">
      <w:pPr>
        <w:pStyle w:val="BodyText"/>
        <w:spacing w:before="90" w:line="280" w:lineRule="auto"/>
        <w:jc w:val="both"/>
      </w:pPr>
    </w:p>
    <w:p w14:paraId="110DE58A" w14:textId="2B510562" w:rsidR="00B87AC6" w:rsidRDefault="001B27C4" w:rsidP="00266E80">
      <w:pPr>
        <w:pStyle w:val="Heading3"/>
        <w:spacing w:before="74"/>
        <w:rPr>
          <w:color w:val="BF5A14"/>
        </w:rPr>
      </w:pPr>
      <w:r>
        <w:rPr>
          <w:color w:val="BF5A14"/>
        </w:rPr>
        <w:t>Image</w:t>
      </w:r>
    </w:p>
    <w:p w14:paraId="6C567453" w14:textId="69643B9B" w:rsidR="00B87AC6" w:rsidRDefault="00B87AC6" w:rsidP="001B27C4">
      <w:pPr>
        <w:pStyle w:val="Heading3"/>
        <w:spacing w:before="74"/>
      </w:pPr>
      <w:r>
        <w:rPr>
          <w:noProof/>
        </w:rPr>
        <w:drawing>
          <wp:inline distT="0" distB="0" distL="0" distR="0" wp14:anchorId="454F9F2C" wp14:editId="1BEA6CD3">
            <wp:extent cx="3165475" cy="2374265"/>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165475" cy="2374265"/>
                    </a:xfrm>
                    <a:prstGeom prst="rect">
                      <a:avLst/>
                    </a:prstGeom>
                    <a:noFill/>
                    <a:ln>
                      <a:noFill/>
                    </a:ln>
                  </pic:spPr>
                </pic:pic>
              </a:graphicData>
            </a:graphic>
          </wp:inline>
        </w:drawing>
      </w:r>
    </w:p>
    <w:p w14:paraId="047A58C5" w14:textId="2154DF8D" w:rsidR="00B87AC6" w:rsidRDefault="00B87AC6" w:rsidP="00B87AC6">
      <w:pPr>
        <w:pStyle w:val="BodyText"/>
        <w:spacing w:before="2"/>
        <w:rPr>
          <w:noProof/>
          <w:lang w:val="en-IN" w:eastAsia="en-IN"/>
        </w:rPr>
      </w:pPr>
    </w:p>
    <w:p w14:paraId="41326E26" w14:textId="5E48598A" w:rsidR="001B27C4" w:rsidRPr="00B87AC6" w:rsidRDefault="001B27C4" w:rsidP="00B87AC6">
      <w:pPr>
        <w:pStyle w:val="BodyText"/>
        <w:spacing w:before="2"/>
        <w:rPr>
          <w:noProof/>
          <w:lang w:val="en-IN" w:eastAsia="en-IN"/>
        </w:rPr>
      </w:pPr>
      <w:r>
        <w:rPr>
          <w:rFonts w:ascii="Arial"/>
          <w:b/>
          <w:color w:val="BF5A14"/>
          <w:sz w:val="20"/>
        </w:rPr>
        <w:t>Recent Publications</w:t>
      </w:r>
    </w:p>
    <w:p w14:paraId="00F9ABD9" w14:textId="77777777" w:rsidR="009B5285" w:rsidRPr="00B87AC6" w:rsidRDefault="009B5285" w:rsidP="00B87AC6">
      <w:pPr>
        <w:pStyle w:val="ListParagraph"/>
        <w:numPr>
          <w:ilvl w:val="0"/>
          <w:numId w:val="2"/>
        </w:numPr>
        <w:tabs>
          <w:tab w:val="left" w:pos="384"/>
        </w:tabs>
        <w:ind w:right="117"/>
        <w:rPr>
          <w:sz w:val="18"/>
        </w:rPr>
      </w:pPr>
      <w:r w:rsidRPr="00B87AC6">
        <w:rPr>
          <w:sz w:val="18"/>
        </w:rPr>
        <w:t>Co</w:t>
      </w:r>
      <w:bookmarkStart w:id="0" w:name="_GoBack"/>
      <w:bookmarkEnd w:id="0"/>
      <w:r w:rsidRPr="00B87AC6">
        <w:rPr>
          <w:sz w:val="18"/>
        </w:rPr>
        <w:t xml:space="preserve">oper, G. and </w:t>
      </w:r>
      <w:proofErr w:type="spellStart"/>
      <w:r w:rsidRPr="00B87AC6">
        <w:rPr>
          <w:sz w:val="18"/>
        </w:rPr>
        <w:t>Stroehla</w:t>
      </w:r>
      <w:proofErr w:type="spellEnd"/>
      <w:r w:rsidRPr="00B87AC6">
        <w:rPr>
          <w:sz w:val="18"/>
        </w:rPr>
        <w:t xml:space="preserve">, B. (2002). The epidemiology of autoimmune diseases. </w:t>
      </w:r>
      <w:proofErr w:type="spellStart"/>
      <w:r w:rsidRPr="00B87AC6">
        <w:rPr>
          <w:sz w:val="18"/>
        </w:rPr>
        <w:t>Autoimunity</w:t>
      </w:r>
      <w:proofErr w:type="spellEnd"/>
      <w:r w:rsidRPr="00B87AC6">
        <w:rPr>
          <w:sz w:val="18"/>
        </w:rPr>
        <w:t xml:space="preserve"> Reviews, 2: 119-125.</w:t>
      </w:r>
    </w:p>
    <w:p w14:paraId="05424CE6" w14:textId="77777777" w:rsidR="009B5285" w:rsidRPr="00B87AC6" w:rsidRDefault="009B5285" w:rsidP="00B87AC6">
      <w:pPr>
        <w:pStyle w:val="ListParagraph"/>
        <w:numPr>
          <w:ilvl w:val="0"/>
          <w:numId w:val="2"/>
        </w:numPr>
        <w:tabs>
          <w:tab w:val="left" w:pos="384"/>
        </w:tabs>
        <w:ind w:right="117"/>
        <w:rPr>
          <w:sz w:val="18"/>
        </w:rPr>
      </w:pPr>
      <w:r w:rsidRPr="00B87AC6">
        <w:rPr>
          <w:sz w:val="18"/>
        </w:rPr>
        <w:t xml:space="preserve">Cooper, G., Bynum, M. and </w:t>
      </w:r>
      <w:proofErr w:type="spellStart"/>
      <w:r w:rsidRPr="00B87AC6">
        <w:rPr>
          <w:sz w:val="18"/>
        </w:rPr>
        <w:t>Somer</w:t>
      </w:r>
      <w:proofErr w:type="spellEnd"/>
      <w:r w:rsidRPr="00B87AC6">
        <w:rPr>
          <w:sz w:val="18"/>
        </w:rPr>
        <w:t>, E. (2009). Recent insights in the epidemiology of autoimmune diseases: Improved prevalence estimates and understanding of clustering of diseases. Journal of Autoimmunity, 33: 197-207.</w:t>
      </w:r>
    </w:p>
    <w:p w14:paraId="5B8CB559" w14:textId="77777777" w:rsidR="009B5285" w:rsidRPr="00B87AC6" w:rsidRDefault="009B5285" w:rsidP="00B87AC6">
      <w:pPr>
        <w:pStyle w:val="ListParagraph"/>
        <w:numPr>
          <w:ilvl w:val="0"/>
          <w:numId w:val="2"/>
        </w:numPr>
        <w:tabs>
          <w:tab w:val="left" w:pos="384"/>
        </w:tabs>
        <w:ind w:right="117"/>
        <w:rPr>
          <w:sz w:val="18"/>
        </w:rPr>
      </w:pPr>
      <w:r w:rsidRPr="00B87AC6">
        <w:rPr>
          <w:sz w:val="18"/>
        </w:rPr>
        <w:t>Autoimmune diseases research plan. (2002). Autoimmune Diseases Coordinating Committee, Department of Health and Human Services. National Institute of Health, USA.</w:t>
      </w:r>
    </w:p>
    <w:p w14:paraId="4015F999" w14:textId="77777777" w:rsidR="009B5285" w:rsidRPr="00B87AC6" w:rsidRDefault="009B5285" w:rsidP="00B87AC6">
      <w:pPr>
        <w:pStyle w:val="ListParagraph"/>
        <w:numPr>
          <w:ilvl w:val="0"/>
          <w:numId w:val="2"/>
        </w:numPr>
        <w:tabs>
          <w:tab w:val="left" w:pos="384"/>
        </w:tabs>
        <w:ind w:right="117"/>
        <w:rPr>
          <w:sz w:val="18"/>
        </w:rPr>
      </w:pPr>
      <w:r w:rsidRPr="00B87AC6">
        <w:rPr>
          <w:sz w:val="18"/>
        </w:rPr>
        <w:t>Oh, S. and Li, M. (2013). TGF-B: Guardian of T cell function. J Immunol., 191 (8): 3973-3979.</w:t>
      </w:r>
    </w:p>
    <w:p w14:paraId="26152A24" w14:textId="77777777" w:rsidR="009B5285" w:rsidRPr="00B87AC6" w:rsidRDefault="009B5285" w:rsidP="00B87AC6">
      <w:pPr>
        <w:pStyle w:val="ListParagraph"/>
        <w:numPr>
          <w:ilvl w:val="0"/>
          <w:numId w:val="2"/>
        </w:numPr>
        <w:tabs>
          <w:tab w:val="left" w:pos="384"/>
        </w:tabs>
        <w:ind w:right="117"/>
        <w:rPr>
          <w:sz w:val="18"/>
        </w:rPr>
      </w:pPr>
      <w:r w:rsidRPr="00B87AC6">
        <w:rPr>
          <w:sz w:val="18"/>
        </w:rPr>
        <w:t xml:space="preserve">Tinoco, R., Alcalde, V., Yan, Y. Sauer, K. &amp; Zuniga, E. (2011). TGF-B signaling in T cells is </w:t>
      </w:r>
      <w:proofErr w:type="spellStart"/>
      <w:r w:rsidRPr="00B87AC6">
        <w:rPr>
          <w:sz w:val="18"/>
        </w:rPr>
        <w:t>essentail</w:t>
      </w:r>
      <w:proofErr w:type="spellEnd"/>
      <w:r w:rsidRPr="00B87AC6">
        <w:rPr>
          <w:sz w:val="18"/>
        </w:rPr>
        <w:t xml:space="preserve"> for CD8 T cell suppression and viral persistence in vivo. Immunity, 31 (1): 145-157.</w:t>
      </w:r>
    </w:p>
    <w:p w14:paraId="14FE6C77" w14:textId="77777777" w:rsidR="009B5285" w:rsidRPr="00B87AC6" w:rsidRDefault="009B5285" w:rsidP="00B87AC6">
      <w:pPr>
        <w:pStyle w:val="ListParagraph"/>
        <w:numPr>
          <w:ilvl w:val="0"/>
          <w:numId w:val="2"/>
        </w:numPr>
        <w:tabs>
          <w:tab w:val="left" w:pos="384"/>
        </w:tabs>
        <w:ind w:right="117"/>
        <w:rPr>
          <w:sz w:val="18"/>
        </w:rPr>
      </w:pPr>
      <w:r w:rsidRPr="00B87AC6">
        <w:rPr>
          <w:sz w:val="18"/>
        </w:rPr>
        <w:t>Li, M., Wan, Y. and Flavell, R. (2007). T cell-produced transforming growth factor B1 controls T cell tolerance and regulates Th1- and Th17-cell differentiation. Immunity, 26 (5): 547-549.</w:t>
      </w:r>
    </w:p>
    <w:p w14:paraId="7F93CC58" w14:textId="77777777" w:rsidR="009B5285" w:rsidRPr="00B87AC6" w:rsidRDefault="009B5285" w:rsidP="00B87AC6">
      <w:pPr>
        <w:pStyle w:val="ListParagraph"/>
        <w:numPr>
          <w:ilvl w:val="0"/>
          <w:numId w:val="2"/>
        </w:numPr>
        <w:tabs>
          <w:tab w:val="left" w:pos="384"/>
        </w:tabs>
        <w:ind w:right="117"/>
        <w:rPr>
          <w:sz w:val="18"/>
        </w:rPr>
      </w:pPr>
      <w:proofErr w:type="spellStart"/>
      <w:r w:rsidRPr="00B87AC6">
        <w:rPr>
          <w:sz w:val="18"/>
        </w:rPr>
        <w:t>Sledzinska</w:t>
      </w:r>
      <w:proofErr w:type="spellEnd"/>
      <w:r w:rsidRPr="00B87AC6">
        <w:rPr>
          <w:sz w:val="18"/>
        </w:rPr>
        <w:t xml:space="preserve">, A., Hemmers, S., Mair F., ... Buch T. (2013). TGF-B </w:t>
      </w:r>
      <w:proofErr w:type="spellStart"/>
      <w:r w:rsidRPr="00B87AC6">
        <w:rPr>
          <w:sz w:val="18"/>
        </w:rPr>
        <w:t>signalling</w:t>
      </w:r>
      <w:proofErr w:type="spellEnd"/>
      <w:r w:rsidRPr="00B87AC6">
        <w:rPr>
          <w:sz w:val="18"/>
        </w:rPr>
        <w:t xml:space="preserve"> is required for CD4 T cell </w:t>
      </w:r>
      <w:proofErr w:type="spellStart"/>
      <w:r w:rsidRPr="00B87AC6">
        <w:rPr>
          <w:sz w:val="18"/>
        </w:rPr>
        <w:t>homesotasis</w:t>
      </w:r>
      <w:proofErr w:type="spellEnd"/>
      <w:r w:rsidRPr="00B87AC6">
        <w:rPr>
          <w:sz w:val="18"/>
        </w:rPr>
        <w:t xml:space="preserve"> but dispensable for regulatory T cell function. </w:t>
      </w:r>
      <w:proofErr w:type="spellStart"/>
      <w:r w:rsidRPr="00B87AC6">
        <w:rPr>
          <w:sz w:val="18"/>
        </w:rPr>
        <w:t>PLos</w:t>
      </w:r>
      <w:proofErr w:type="spellEnd"/>
      <w:r w:rsidRPr="00B87AC6">
        <w:rPr>
          <w:sz w:val="18"/>
        </w:rPr>
        <w:t xml:space="preserve"> Biol., 11 (10): </w:t>
      </w:r>
      <w:proofErr w:type="gramStart"/>
      <w:r w:rsidRPr="00B87AC6">
        <w:rPr>
          <w:sz w:val="18"/>
        </w:rPr>
        <w:t>doi:10.1371/journal.pbio</w:t>
      </w:r>
      <w:proofErr w:type="gramEnd"/>
      <w:r w:rsidRPr="00B87AC6">
        <w:rPr>
          <w:sz w:val="18"/>
        </w:rPr>
        <w:t>.1001674.</w:t>
      </w:r>
    </w:p>
    <w:p w14:paraId="6413583C" w14:textId="77777777" w:rsidR="009B5285" w:rsidRPr="00B87AC6" w:rsidRDefault="009B5285" w:rsidP="00B87AC6">
      <w:pPr>
        <w:pStyle w:val="ListParagraph"/>
        <w:numPr>
          <w:ilvl w:val="0"/>
          <w:numId w:val="2"/>
        </w:numPr>
        <w:tabs>
          <w:tab w:val="left" w:pos="384"/>
        </w:tabs>
        <w:ind w:right="117"/>
        <w:rPr>
          <w:sz w:val="18"/>
        </w:rPr>
      </w:pPr>
      <w:r w:rsidRPr="00B87AC6">
        <w:rPr>
          <w:sz w:val="18"/>
        </w:rPr>
        <w:t>Aoki, C., Borchers, A., Li, M., ... Gershwin, M.E. (2005). Transforming growth factor B (TGF-B) and autoimmunity. Autoimmunity Reviews, 4: 450-459.</w:t>
      </w:r>
    </w:p>
    <w:p w14:paraId="552CD0D5" w14:textId="77777777" w:rsidR="009B5285" w:rsidRPr="00B87AC6" w:rsidRDefault="009B5285" w:rsidP="00B87AC6">
      <w:pPr>
        <w:pStyle w:val="ListParagraph"/>
        <w:numPr>
          <w:ilvl w:val="0"/>
          <w:numId w:val="2"/>
        </w:numPr>
        <w:tabs>
          <w:tab w:val="left" w:pos="384"/>
        </w:tabs>
        <w:ind w:right="117"/>
        <w:rPr>
          <w:sz w:val="18"/>
        </w:rPr>
      </w:pPr>
      <w:proofErr w:type="spellStart"/>
      <w:r w:rsidRPr="00B87AC6">
        <w:rPr>
          <w:sz w:val="18"/>
        </w:rPr>
        <w:t>Flippi</w:t>
      </w:r>
      <w:proofErr w:type="spellEnd"/>
      <w:r w:rsidRPr="00B87AC6">
        <w:rPr>
          <w:sz w:val="18"/>
        </w:rPr>
        <w:t xml:space="preserve">, C., </w:t>
      </w:r>
      <w:proofErr w:type="spellStart"/>
      <w:r w:rsidRPr="00B87AC6">
        <w:rPr>
          <w:sz w:val="18"/>
        </w:rPr>
        <w:t>Juedes</w:t>
      </w:r>
      <w:proofErr w:type="spellEnd"/>
      <w:r w:rsidRPr="00B87AC6">
        <w:rPr>
          <w:sz w:val="18"/>
        </w:rPr>
        <w:t xml:space="preserve">, A., Oldham, J. ... </w:t>
      </w:r>
      <w:proofErr w:type="spellStart"/>
      <w:r w:rsidRPr="00B87AC6">
        <w:rPr>
          <w:sz w:val="18"/>
        </w:rPr>
        <w:t>Herrath</w:t>
      </w:r>
      <w:proofErr w:type="spellEnd"/>
      <w:r w:rsidRPr="00B87AC6">
        <w:rPr>
          <w:sz w:val="18"/>
        </w:rPr>
        <w:t xml:space="preserve">, M. (2008). Transforming growth factor-B </w:t>
      </w:r>
      <w:proofErr w:type="spellStart"/>
      <w:r w:rsidRPr="00B87AC6">
        <w:rPr>
          <w:sz w:val="18"/>
        </w:rPr>
        <w:t>supresses</w:t>
      </w:r>
      <w:proofErr w:type="spellEnd"/>
      <w:r w:rsidRPr="00B87AC6">
        <w:rPr>
          <w:sz w:val="18"/>
        </w:rPr>
        <w:t xml:space="preserve"> the activation of CD8 T-cells when naive but promotes their survival and function once antigen experienced. Diabetes, 57 (10): 2684-2692.</w:t>
      </w:r>
    </w:p>
    <w:p w14:paraId="33546FD2" w14:textId="77777777" w:rsidR="009B5285" w:rsidRPr="00B87AC6" w:rsidRDefault="009B5285" w:rsidP="00B87AC6">
      <w:pPr>
        <w:pStyle w:val="ListParagraph"/>
        <w:numPr>
          <w:ilvl w:val="0"/>
          <w:numId w:val="2"/>
        </w:numPr>
        <w:tabs>
          <w:tab w:val="left" w:pos="384"/>
        </w:tabs>
        <w:ind w:right="117"/>
        <w:rPr>
          <w:sz w:val="18"/>
        </w:rPr>
      </w:pPr>
      <w:proofErr w:type="spellStart"/>
      <w:r w:rsidRPr="00B87AC6">
        <w:rPr>
          <w:sz w:val="18"/>
        </w:rPr>
        <w:t>Ishigame</w:t>
      </w:r>
      <w:proofErr w:type="spellEnd"/>
      <w:r w:rsidRPr="00B87AC6">
        <w:rPr>
          <w:sz w:val="18"/>
        </w:rPr>
        <w:t xml:space="preserve">, H., </w:t>
      </w:r>
      <w:proofErr w:type="spellStart"/>
      <w:r w:rsidRPr="00B87AC6">
        <w:rPr>
          <w:sz w:val="18"/>
        </w:rPr>
        <w:t>Zenewics</w:t>
      </w:r>
      <w:proofErr w:type="spellEnd"/>
      <w:r w:rsidRPr="00B87AC6">
        <w:rPr>
          <w:sz w:val="18"/>
        </w:rPr>
        <w:t xml:space="preserve">, L., </w:t>
      </w:r>
      <w:proofErr w:type="spellStart"/>
      <w:r w:rsidRPr="00B87AC6">
        <w:rPr>
          <w:sz w:val="18"/>
        </w:rPr>
        <w:t>Sanjabi</w:t>
      </w:r>
      <w:proofErr w:type="spellEnd"/>
      <w:r w:rsidRPr="00B87AC6">
        <w:rPr>
          <w:sz w:val="18"/>
        </w:rPr>
        <w:t xml:space="preserve">, S., ... Flavell, R. (2013). Excessive Th1 responses due to the absence of TGF-B signaling cause autoimmune diabetes and dysregulated </w:t>
      </w:r>
      <w:proofErr w:type="spellStart"/>
      <w:r w:rsidRPr="00B87AC6">
        <w:rPr>
          <w:sz w:val="18"/>
        </w:rPr>
        <w:t>Treg</w:t>
      </w:r>
      <w:proofErr w:type="spellEnd"/>
      <w:r w:rsidRPr="00B87AC6">
        <w:rPr>
          <w:sz w:val="18"/>
        </w:rPr>
        <w:t xml:space="preserve"> cell homeostasis. PNAS, 10 (17): 6961-6966.</w:t>
      </w:r>
    </w:p>
    <w:p w14:paraId="4952891B" w14:textId="77777777" w:rsidR="009B5285" w:rsidRPr="00B87AC6" w:rsidRDefault="009B5285" w:rsidP="00B87AC6">
      <w:pPr>
        <w:pStyle w:val="ListParagraph"/>
        <w:numPr>
          <w:ilvl w:val="0"/>
          <w:numId w:val="2"/>
        </w:numPr>
        <w:tabs>
          <w:tab w:val="left" w:pos="384"/>
        </w:tabs>
        <w:ind w:right="117"/>
        <w:rPr>
          <w:sz w:val="18"/>
        </w:rPr>
      </w:pPr>
      <w:proofErr w:type="spellStart"/>
      <w:r w:rsidRPr="00B87AC6">
        <w:rPr>
          <w:sz w:val="18"/>
        </w:rPr>
        <w:t>Boussiotis</w:t>
      </w:r>
      <w:proofErr w:type="spellEnd"/>
      <w:r w:rsidRPr="00B87AC6">
        <w:rPr>
          <w:sz w:val="18"/>
        </w:rPr>
        <w:t xml:space="preserve">, V. (2016). Molecular and biochemical aspects of the PD-1 checkpoint pathway. N </w:t>
      </w:r>
      <w:proofErr w:type="spellStart"/>
      <w:r w:rsidRPr="00B87AC6">
        <w:rPr>
          <w:sz w:val="18"/>
        </w:rPr>
        <w:t>Eng</w:t>
      </w:r>
      <w:proofErr w:type="spellEnd"/>
      <w:r w:rsidRPr="00B87AC6">
        <w:rPr>
          <w:sz w:val="18"/>
        </w:rPr>
        <w:t xml:space="preserve"> J Med., 375 (18): 1767-1778.</w:t>
      </w:r>
    </w:p>
    <w:p w14:paraId="7E62A506" w14:textId="77777777" w:rsidR="009B5285" w:rsidRPr="00B87AC6" w:rsidRDefault="009B5285" w:rsidP="00B87AC6">
      <w:pPr>
        <w:pStyle w:val="ListParagraph"/>
        <w:numPr>
          <w:ilvl w:val="0"/>
          <w:numId w:val="2"/>
        </w:numPr>
        <w:tabs>
          <w:tab w:val="left" w:pos="384"/>
        </w:tabs>
        <w:ind w:right="117"/>
        <w:rPr>
          <w:sz w:val="18"/>
        </w:rPr>
      </w:pPr>
      <w:r w:rsidRPr="00B87AC6">
        <w:rPr>
          <w:sz w:val="18"/>
        </w:rPr>
        <w:t xml:space="preserve">Amarnath, S., </w:t>
      </w:r>
      <w:proofErr w:type="spellStart"/>
      <w:r w:rsidRPr="00B87AC6">
        <w:rPr>
          <w:sz w:val="18"/>
        </w:rPr>
        <w:t>Mangus</w:t>
      </w:r>
      <w:proofErr w:type="spellEnd"/>
      <w:r w:rsidRPr="00B87AC6">
        <w:rPr>
          <w:sz w:val="18"/>
        </w:rPr>
        <w:t xml:space="preserve">, C., Wang, J., ... Fowler, D. (2011). The PDL1-PD1 axis converts human Th1 cells into regulatory T cells. Sci </w:t>
      </w:r>
      <w:proofErr w:type="spellStart"/>
      <w:r w:rsidRPr="00B87AC6">
        <w:rPr>
          <w:sz w:val="18"/>
        </w:rPr>
        <w:t>Transl</w:t>
      </w:r>
      <w:proofErr w:type="spellEnd"/>
      <w:r w:rsidRPr="00B87AC6">
        <w:rPr>
          <w:sz w:val="18"/>
        </w:rPr>
        <w:t xml:space="preserve"> Med, 3 (111); doi:10.1126/scitranslmed.3003130.</w:t>
      </w:r>
    </w:p>
    <w:p w14:paraId="1CB7DAE7" w14:textId="2961DDAD" w:rsidR="001B27C4" w:rsidRPr="008756E6" w:rsidRDefault="009B5285" w:rsidP="00B87AC6">
      <w:pPr>
        <w:pStyle w:val="ListParagraph"/>
        <w:numPr>
          <w:ilvl w:val="0"/>
          <w:numId w:val="2"/>
        </w:numPr>
        <w:tabs>
          <w:tab w:val="left" w:pos="384"/>
        </w:tabs>
        <w:ind w:right="117"/>
      </w:pPr>
      <w:r w:rsidRPr="00B87AC6">
        <w:rPr>
          <w:sz w:val="18"/>
        </w:rPr>
        <w:t xml:space="preserve">Lagasse, H., </w:t>
      </w:r>
      <w:proofErr w:type="spellStart"/>
      <w:r w:rsidRPr="00B87AC6">
        <w:rPr>
          <w:sz w:val="18"/>
        </w:rPr>
        <w:t>Alexaki</w:t>
      </w:r>
      <w:proofErr w:type="spellEnd"/>
      <w:r w:rsidRPr="00B87AC6">
        <w:rPr>
          <w:sz w:val="18"/>
        </w:rPr>
        <w:t xml:space="preserve">, A., </w:t>
      </w:r>
      <w:proofErr w:type="spellStart"/>
      <w:r w:rsidRPr="00B87AC6">
        <w:rPr>
          <w:sz w:val="18"/>
        </w:rPr>
        <w:t>Simhadr</w:t>
      </w:r>
      <w:proofErr w:type="spellEnd"/>
      <w:r w:rsidRPr="00B87AC6">
        <w:rPr>
          <w:sz w:val="18"/>
        </w:rPr>
        <w:t>, V., ... Kimchi-</w:t>
      </w:r>
      <w:proofErr w:type="spellStart"/>
      <w:r w:rsidRPr="00B87AC6">
        <w:rPr>
          <w:sz w:val="18"/>
        </w:rPr>
        <w:t>Sarfaty</w:t>
      </w:r>
      <w:proofErr w:type="spellEnd"/>
      <w:r w:rsidRPr="00B87AC6">
        <w:rPr>
          <w:sz w:val="18"/>
        </w:rPr>
        <w:t>, C. (2017). Recent advances in (therapeutic protein) drug development. F1000 Research, 6 (113</w:t>
      </w:r>
      <w:proofErr w:type="gramStart"/>
      <w:r w:rsidRPr="00B87AC6">
        <w:rPr>
          <w:sz w:val="18"/>
        </w:rPr>
        <w:t>):</w:t>
      </w:r>
      <w:proofErr w:type="spellStart"/>
      <w:r w:rsidRPr="00B87AC6">
        <w:rPr>
          <w:sz w:val="18"/>
        </w:rPr>
        <w:t>doi</w:t>
      </w:r>
      <w:proofErr w:type="spellEnd"/>
      <w:proofErr w:type="gramEnd"/>
      <w:r w:rsidRPr="00B87AC6">
        <w:rPr>
          <w:sz w:val="18"/>
        </w:rPr>
        <w:t>: 10.12688/f1000research.9970.1</w:t>
      </w:r>
    </w:p>
    <w:p w14:paraId="54558916" w14:textId="77777777" w:rsidR="001B27C4" w:rsidRDefault="001B27C4" w:rsidP="001B27C4">
      <w:pPr>
        <w:spacing w:line="200" w:lineRule="exact"/>
        <w:jc w:val="both"/>
        <w:rPr>
          <w:rFonts w:ascii="Calibri" w:hAnsi="Calibri"/>
        </w:rPr>
        <w:sectPr w:rsidR="001B27C4">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70790188" w14:textId="16BEAEA2" w:rsidR="001B27C4" w:rsidRPr="00D62425" w:rsidRDefault="001B27C4" w:rsidP="001B27C4">
      <w:pPr>
        <w:pStyle w:val="BodyText"/>
        <w:rPr>
          <w:rFonts w:ascii="Calibri"/>
          <w:b/>
          <w:sz w:val="20"/>
        </w:rPr>
      </w:pPr>
      <w:r>
        <w:rPr>
          <w:rFonts w:ascii="Calibri"/>
          <w:sz w:val="20"/>
        </w:rPr>
        <w:lastRenderedPageBreak/>
        <w:t xml:space="preserve">                 </w:t>
      </w:r>
      <w:r w:rsidRPr="00D62425">
        <w:rPr>
          <w:rFonts w:ascii="Calibri"/>
          <w:b/>
          <w:sz w:val="20"/>
        </w:rPr>
        <w:t>Photograph</w:t>
      </w:r>
    </w:p>
    <w:p w14:paraId="6D3CB7DD" w14:textId="77777777" w:rsidR="001B27C4" w:rsidRDefault="001B27C4" w:rsidP="001B27C4">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7A391107" wp14:editId="7A4F2D4E">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60B6266"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4D66840F" w14:textId="40173E9E" w:rsidR="001B27C4" w:rsidRDefault="001B27C4" w:rsidP="001B27C4">
      <w:pPr>
        <w:spacing w:before="92"/>
        <w:ind w:right="4234"/>
        <w:rPr>
          <w:rFonts w:ascii="Arial"/>
        </w:rPr>
      </w:pPr>
      <w:r>
        <w:rPr>
          <w:noProof/>
        </w:rPr>
        <w:t xml:space="preserve">              </w:t>
      </w:r>
      <w:r>
        <w:rPr>
          <w:noProof/>
          <w:lang w:val="en-IN" w:eastAsia="en-IN"/>
        </w:rPr>
        <w:drawing>
          <wp:inline distT="0" distB="0" distL="0" distR="0" wp14:anchorId="4A89FB9A" wp14:editId="2A861CF0">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Pr>
          <w:rFonts w:ascii="Arial"/>
          <w:color w:val="BF5A14"/>
        </w:rPr>
        <w:t xml:space="preserve">Biography </w:t>
      </w:r>
    </w:p>
    <w:p w14:paraId="3E843250" w14:textId="2661F5B0" w:rsidR="00B87AC6" w:rsidRPr="00B87AC6" w:rsidRDefault="00B87AC6" w:rsidP="001B27C4">
      <w:pPr>
        <w:spacing w:before="41" w:line="154" w:lineRule="exact"/>
        <w:ind w:left="213" w:right="231"/>
        <w:jc w:val="both"/>
        <w:rPr>
          <w:rFonts w:ascii="Arial" w:hAnsi="Arial" w:cs="Arial"/>
          <w:sz w:val="14"/>
          <w:szCs w:val="14"/>
        </w:rPr>
      </w:pPr>
      <w:r w:rsidRPr="00B87AC6">
        <w:rPr>
          <w:rFonts w:ascii="Arial" w:hAnsi="Arial" w:cs="Arial"/>
          <w:sz w:val="14"/>
          <w:szCs w:val="14"/>
        </w:rPr>
        <w:t>Marvin</w:t>
      </w:r>
      <w:r w:rsidR="001B27C4" w:rsidRPr="00B87AC6">
        <w:rPr>
          <w:rFonts w:ascii="Arial" w:hAnsi="Arial" w:cs="Arial"/>
          <w:sz w:val="14"/>
          <w:szCs w:val="14"/>
        </w:rPr>
        <w:t xml:space="preserve"> has</w:t>
      </w:r>
      <w:r w:rsidRPr="00B87AC6">
        <w:rPr>
          <w:rFonts w:ascii="Arial" w:hAnsi="Arial" w:cs="Arial"/>
          <w:sz w:val="14"/>
          <w:szCs w:val="14"/>
        </w:rPr>
        <w:t xml:space="preserve"> passion in research, </w:t>
      </w:r>
      <w:r>
        <w:rPr>
          <w:rFonts w:ascii="Arial" w:hAnsi="Arial" w:cs="Arial"/>
          <w:sz w:val="14"/>
          <w:szCs w:val="14"/>
        </w:rPr>
        <w:t>education</w:t>
      </w:r>
      <w:r w:rsidRPr="00B87AC6">
        <w:rPr>
          <w:rFonts w:ascii="Arial" w:hAnsi="Arial" w:cs="Arial"/>
          <w:sz w:val="14"/>
          <w:szCs w:val="14"/>
        </w:rPr>
        <w:t xml:space="preserve"> and technology innovation. He is currently a senior scientist at </w:t>
      </w:r>
      <w:proofErr w:type="spellStart"/>
      <w:r w:rsidRPr="00B87AC6">
        <w:rPr>
          <w:rFonts w:ascii="Arial" w:hAnsi="Arial" w:cs="Arial"/>
          <w:sz w:val="14"/>
          <w:szCs w:val="14"/>
        </w:rPr>
        <w:t>Globetek</w:t>
      </w:r>
      <w:proofErr w:type="spellEnd"/>
      <w:r w:rsidRPr="00B87AC6">
        <w:rPr>
          <w:rFonts w:ascii="Arial" w:hAnsi="Arial" w:cs="Arial"/>
          <w:sz w:val="14"/>
          <w:szCs w:val="14"/>
        </w:rPr>
        <w:t xml:space="preserve"> Science Foundation based in the Philippines and currently working as a thesis student at the Protein Structure and Immunology Laboratory of National Institute of Molecular Biology and Biotechnology, UP Diliman. As a scientist at </w:t>
      </w:r>
      <w:proofErr w:type="spellStart"/>
      <w:r w:rsidRPr="00B87AC6">
        <w:rPr>
          <w:rFonts w:ascii="Arial" w:hAnsi="Arial" w:cs="Arial"/>
          <w:sz w:val="14"/>
          <w:szCs w:val="14"/>
        </w:rPr>
        <w:t>Globetek</w:t>
      </w:r>
      <w:proofErr w:type="spellEnd"/>
      <w:r w:rsidRPr="00B87AC6">
        <w:rPr>
          <w:rFonts w:ascii="Arial" w:hAnsi="Arial" w:cs="Arial"/>
          <w:sz w:val="14"/>
          <w:szCs w:val="14"/>
        </w:rPr>
        <w:t>, he</w:t>
      </w:r>
      <w:r w:rsidRPr="00B87AC6">
        <w:rPr>
          <w:rFonts w:ascii="Arial" w:hAnsi="Arial" w:cs="Arial"/>
          <w:sz w:val="14"/>
          <w:szCs w:val="14"/>
          <w:shd w:val="clear" w:color="auto" w:fill="FFFFFF"/>
        </w:rPr>
        <w:t xml:space="preserve"> is supervising projects in biological therapeutics, molecular testing, clinical diagnostics and medical biotechnology. He is part of very enthusiastic teams who establish competitive molecular </w:t>
      </w:r>
      <w:r>
        <w:rPr>
          <w:rFonts w:ascii="Arial" w:hAnsi="Arial" w:cs="Arial"/>
          <w:sz w:val="14"/>
          <w:szCs w:val="14"/>
          <w:shd w:val="clear" w:color="auto" w:fill="FFFFFF"/>
        </w:rPr>
        <w:t>tests</w:t>
      </w:r>
      <w:r w:rsidRPr="00B87AC6">
        <w:rPr>
          <w:rFonts w:ascii="Arial" w:hAnsi="Arial" w:cs="Arial"/>
          <w:sz w:val="14"/>
          <w:szCs w:val="14"/>
          <w:shd w:val="clear" w:color="auto" w:fill="FFFFFF"/>
        </w:rPr>
        <w:t xml:space="preserve"> for patients using optimized</w:t>
      </w:r>
      <w:r>
        <w:rPr>
          <w:rFonts w:ascii="Arial" w:hAnsi="Arial" w:cs="Arial"/>
          <w:sz w:val="14"/>
          <w:szCs w:val="14"/>
          <w:shd w:val="clear" w:color="auto" w:fill="FFFFFF"/>
        </w:rPr>
        <w:t xml:space="preserve">, </w:t>
      </w:r>
      <w:r w:rsidRPr="00B87AC6">
        <w:rPr>
          <w:rFonts w:ascii="Arial" w:hAnsi="Arial" w:cs="Arial"/>
          <w:sz w:val="14"/>
          <w:szCs w:val="14"/>
          <w:shd w:val="clear" w:color="auto" w:fill="FFFFFF"/>
        </w:rPr>
        <w:t>validated methods for clinical application in disease diagnosis. He works with hardworking scientists who conduct extensive works in genetic manipulation, cell and tissue culture, cellular and immune engineering and molecular analyses to come up with biological therapeutics and innovate potential biotechnological tools f</w:t>
      </w:r>
      <w:r>
        <w:rPr>
          <w:rFonts w:ascii="Arial" w:hAnsi="Arial" w:cs="Arial"/>
          <w:sz w:val="14"/>
          <w:szCs w:val="14"/>
          <w:shd w:val="clear" w:color="auto" w:fill="FFFFFF"/>
        </w:rPr>
        <w:t>or</w:t>
      </w:r>
      <w:r w:rsidRPr="00B87AC6">
        <w:rPr>
          <w:rFonts w:ascii="Arial" w:hAnsi="Arial" w:cs="Arial"/>
          <w:sz w:val="14"/>
          <w:szCs w:val="14"/>
          <w:shd w:val="clear" w:color="auto" w:fill="FFFFFF"/>
        </w:rPr>
        <w:t xml:space="preserve"> medical, environmental and industrial applications.</w:t>
      </w:r>
    </w:p>
    <w:p w14:paraId="1E5B3EDA" w14:textId="77777777" w:rsidR="00B87AC6" w:rsidRPr="00B87AC6" w:rsidRDefault="00B87AC6" w:rsidP="001B27C4">
      <w:pPr>
        <w:spacing w:before="41" w:line="154" w:lineRule="exact"/>
        <w:ind w:left="213" w:right="231"/>
        <w:jc w:val="both"/>
        <w:rPr>
          <w:rFonts w:ascii="Arial" w:hAnsi="Arial" w:cs="Arial"/>
          <w:sz w:val="14"/>
          <w:szCs w:val="14"/>
        </w:rPr>
      </w:pPr>
    </w:p>
    <w:p w14:paraId="1D4FEC29" w14:textId="545FF10A" w:rsidR="001B27C4" w:rsidRDefault="001B27C4" w:rsidP="001B27C4">
      <w:pPr>
        <w:spacing w:before="62"/>
        <w:ind w:left="4217" w:right="4235"/>
        <w:jc w:val="center"/>
        <w:rPr>
          <w:rFonts w:ascii="Arial"/>
          <w:sz w:val="14"/>
        </w:rPr>
      </w:pPr>
      <w:r>
        <w:rPr>
          <w:rFonts w:ascii="Arial"/>
          <w:sz w:val="14"/>
        </w:rPr>
        <w:t xml:space="preserve">Email: </w:t>
      </w:r>
      <w:hyperlink r:id="rId10" w:history="1">
        <w:r w:rsidR="006D6146" w:rsidRPr="0075327C">
          <w:rPr>
            <w:rStyle w:val="Hyperlink"/>
            <w:rFonts w:ascii="Arial"/>
            <w:sz w:val="14"/>
          </w:rPr>
          <w:t>midelossantos1215@gmail.com</w:t>
        </w:r>
      </w:hyperlink>
    </w:p>
    <w:p w14:paraId="1E23B2F2" w14:textId="77777777" w:rsidR="001B27C4" w:rsidRDefault="001B27C4" w:rsidP="001B27C4">
      <w:pPr>
        <w:pStyle w:val="BodyText"/>
        <w:spacing w:before="2"/>
        <w:rPr>
          <w:rFonts w:ascii="Arial"/>
          <w:sz w:val="19"/>
        </w:rPr>
      </w:pPr>
      <w:r>
        <w:rPr>
          <w:noProof/>
          <w:lang w:val="en-IN" w:eastAsia="en-IN"/>
        </w:rPr>
        <mc:AlternateContent>
          <mc:Choice Requires="wps">
            <w:drawing>
              <wp:anchor distT="0" distB="0" distL="0" distR="0" simplePos="0" relativeHeight="251659264" behindDoc="0" locked="0" layoutInCell="1" allowOverlap="1" wp14:anchorId="7610DC6E" wp14:editId="7FE55F7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F39906"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5A949D6B" w14:textId="77777777" w:rsidR="001B27C4" w:rsidRDefault="001B27C4" w:rsidP="001B27C4">
      <w:pPr>
        <w:pStyle w:val="BodyText"/>
        <w:rPr>
          <w:rFonts w:ascii="Arial"/>
          <w:sz w:val="20"/>
        </w:rPr>
      </w:pPr>
    </w:p>
    <w:p w14:paraId="1267F1DB" w14:textId="77777777" w:rsidR="001B27C4" w:rsidRDefault="001B27C4" w:rsidP="001B27C4">
      <w:pPr>
        <w:pStyle w:val="BodyText"/>
        <w:rPr>
          <w:rFonts w:ascii="Arial"/>
          <w:sz w:val="20"/>
        </w:rPr>
      </w:pPr>
    </w:p>
    <w:p w14:paraId="38B62C2F" w14:textId="77777777" w:rsidR="001B27C4" w:rsidRDefault="001B27C4" w:rsidP="001B27C4">
      <w:pPr>
        <w:pStyle w:val="BodyText"/>
        <w:spacing w:before="7"/>
        <w:rPr>
          <w:rFonts w:ascii="Arial"/>
          <w:sz w:val="29"/>
        </w:rPr>
      </w:pPr>
    </w:p>
    <w:p w14:paraId="3FC9E7CF" w14:textId="77777777" w:rsidR="001B27C4" w:rsidRPr="00B21A57" w:rsidRDefault="001B27C4" w:rsidP="001B27C4">
      <w:pPr>
        <w:spacing w:before="39"/>
        <w:ind w:left="100"/>
        <w:rPr>
          <w:rFonts w:ascii="Minion Pro"/>
          <w:b/>
          <w:sz w:val="20"/>
        </w:rPr>
      </w:pPr>
      <w:r w:rsidRPr="00B21A57">
        <w:rPr>
          <w:rFonts w:ascii="Minion Pro"/>
          <w:b/>
          <w:sz w:val="20"/>
        </w:rPr>
        <w:t>Notes/Comments:</w:t>
      </w:r>
    </w:p>
    <w:p w14:paraId="3FCEB6C8" w14:textId="77777777" w:rsidR="001B27C4" w:rsidRDefault="001B27C4" w:rsidP="001B27C4">
      <w:pPr>
        <w:rPr>
          <w:rFonts w:ascii="Minion Pro"/>
          <w:sz w:val="24"/>
        </w:rPr>
        <w:sectPr w:rsidR="001B27C4">
          <w:type w:val="continuous"/>
          <w:pgSz w:w="11910" w:h="16840"/>
          <w:pgMar w:top="1740" w:right="600" w:bottom="840" w:left="620" w:header="720" w:footer="720" w:gutter="0"/>
          <w:cols w:space="720"/>
        </w:sectPr>
      </w:pPr>
    </w:p>
    <w:p w14:paraId="7846F48A" w14:textId="77777777" w:rsidR="001B27C4" w:rsidRDefault="001B27C4" w:rsidP="001B27C4">
      <w:pPr>
        <w:pStyle w:val="BodyText"/>
        <w:spacing w:before="3"/>
        <w:rPr>
          <w:rFonts w:ascii="Minion Pro"/>
          <w:sz w:val="26"/>
        </w:rPr>
      </w:pPr>
    </w:p>
    <w:p w14:paraId="5BFEEA5B" w14:textId="77777777" w:rsidR="000124D1" w:rsidRDefault="000124D1"/>
    <w:sectPr w:rsidR="000124D1" w:rsidSect="00BF116E">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2E68E1" w14:textId="77777777" w:rsidR="00C56E1A" w:rsidRDefault="00C56E1A" w:rsidP="001B27C4">
      <w:r>
        <w:separator/>
      </w:r>
    </w:p>
  </w:endnote>
  <w:endnote w:type="continuationSeparator" w:id="0">
    <w:p w14:paraId="5DC38E60" w14:textId="77777777" w:rsidR="00C56E1A" w:rsidRDefault="00C56E1A" w:rsidP="001B27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Impact">
    <w:panose1 w:val="020B0806030902050204"/>
    <w:charset w:val="00"/>
    <w:family w:val="swiss"/>
    <w:pitch w:val="variable"/>
    <w:sig w:usb0="00000287" w:usb1="00000000" w:usb2="00000000" w:usb3="00000000" w:csb0="000000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F3664F" w14:textId="48CDEAE0" w:rsidR="00BF116E" w:rsidRDefault="00BF116E">
    <w:pPr>
      <w:pStyle w:val="BodyText"/>
      <w:spacing w:line="14" w:lineRule="auto"/>
      <w:rPr>
        <w:sz w:val="20"/>
      </w:rPr>
    </w:pPr>
    <w:r>
      <w:rPr>
        <w:noProof/>
        <w:lang w:val="en-IN" w:eastAsia="en-IN"/>
      </w:rPr>
      <mc:AlternateContent>
        <mc:Choice Requires="wps">
          <w:drawing>
            <wp:anchor distT="0" distB="0" distL="114300" distR="114300" simplePos="0" relativeHeight="251662336" behindDoc="1" locked="0" layoutInCell="1" allowOverlap="1" wp14:anchorId="1EE7137D" wp14:editId="1EB86A25">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6376A5" w14:textId="77777777" w:rsidR="00BF116E" w:rsidRPr="005B3A56" w:rsidRDefault="00BF116E">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ECB8FE6" w14:textId="77777777" w:rsidR="00BF116E" w:rsidRPr="005B3A56" w:rsidRDefault="00BF116E">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E7137D" id="_x0000_t202" coordsize="21600,21600" o:spt="202" path="m,l,21600r21600,l21600,xe">
              <v:stroke joinstyle="miter"/>
              <v:path gradientshapeok="t" o:connecttype="rect"/>
            </v:shapetype>
            <v:shape id="Text Box 2" o:spid="_x0000_s1026" type="#_x0000_t202" style="position:absolute;margin-left:252.1pt;margin-top:799.05pt;width:91.9pt;height:24.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" filled="f" stroked="f">
              <v:textbox inset="0,0,0,0">
                <w:txbxContent>
                  <w:p w14:paraId="5C6376A5" w14:textId="77777777" w:rsidR="00BF116E" w:rsidRPr="005B3A56" w:rsidRDefault="00BF116E">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ECB8FE6" w14:textId="77777777" w:rsidR="00BF116E" w:rsidRPr="005B3A56" w:rsidRDefault="00BF116E">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3360" behindDoc="1" locked="0" layoutInCell="1" allowOverlap="1" wp14:anchorId="2B70BF79" wp14:editId="1F6E4519">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5BD2F3" w14:textId="77777777" w:rsidR="00BF116E" w:rsidRPr="005B3A56" w:rsidRDefault="00BF116E">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6B8A605" w14:textId="77777777" w:rsidR="00BF116E" w:rsidRPr="005B3A56" w:rsidRDefault="00BF116E">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70BF79" id="Text Box 1" o:spid="_x0000_s1027" type="#_x0000_t202" style="position:absolute;margin-left:468.9pt;margin-top:798.8pt;width:91.4pt;height:26.0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k1j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ZzfwU4UT6BgKUBg&#10;oEUYe2BUQn7HqIMRkmD17UAkxah+z+EVmHkzGnI0dqNBeA5XE6wxGsyNHubSoZVsXwHy8M64uIOX&#10;UjIrYvOkhiyAgVnAWLBcTiPMzJ3LtfV6HrSrXwA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LqZNY68CAACwBQAA&#10;DgAAAAAAAAAAAAAAAAAuAgAAZHJzL2Uyb0RvYy54bWxQSwECLQAUAAYACAAAACEA4y1yTuIAAAAO&#10;AQAADwAAAAAAAAAAAAAAAAAJBQAAZHJzL2Rvd25yZXYueG1sUEsFBgAAAAAEAAQA8wAAABgGAAAA&#10;AA==&#10;" filled="f" stroked="f">
              <v:textbox inset="0,0,0,0">
                <w:txbxContent>
                  <w:p w14:paraId="7D5BD2F3" w14:textId="77777777" w:rsidR="00BF116E" w:rsidRPr="005B3A56" w:rsidRDefault="00BF116E">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6B8A605" w14:textId="77777777" w:rsidR="00BF116E" w:rsidRPr="005B3A56" w:rsidRDefault="00BF116E">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8C5C99" w14:textId="77777777" w:rsidR="00C56E1A" w:rsidRDefault="00C56E1A" w:rsidP="001B27C4">
      <w:r>
        <w:separator/>
      </w:r>
    </w:p>
  </w:footnote>
  <w:footnote w:type="continuationSeparator" w:id="0">
    <w:p w14:paraId="5F730025" w14:textId="77777777" w:rsidR="00C56E1A" w:rsidRDefault="00C56E1A" w:rsidP="001B27C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615509"/>
    <w:multiLevelType w:val="hybridMultilevel"/>
    <w:tmpl w:val="1722E702"/>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1"/>
    <w:lvlOverride w:ilvl="0">
      <w:startOverride w:val="1"/>
    </w:lvlOverride>
    <w:lvlOverride w:ilvl="1"/>
    <w:lvlOverride w:ilvl="2"/>
    <w:lvlOverride w:ilvl="3"/>
    <w:lvlOverride w:ilvl="4"/>
    <w:lvlOverride w:ilvl="5"/>
    <w:lvlOverride w:ilvl="6"/>
    <w:lvlOverride w:ilvl="7"/>
    <w:lvlOverride w:ilvl="8"/>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27C4"/>
    <w:rsid w:val="000124D1"/>
    <w:rsid w:val="00036D38"/>
    <w:rsid w:val="000C03D5"/>
    <w:rsid w:val="000D61A3"/>
    <w:rsid w:val="001B27C4"/>
    <w:rsid w:val="001C2FD0"/>
    <w:rsid w:val="001F50CB"/>
    <w:rsid w:val="00266E80"/>
    <w:rsid w:val="002E0E89"/>
    <w:rsid w:val="003E2EC2"/>
    <w:rsid w:val="00407728"/>
    <w:rsid w:val="00412F63"/>
    <w:rsid w:val="0045732F"/>
    <w:rsid w:val="004D6324"/>
    <w:rsid w:val="005D0FA1"/>
    <w:rsid w:val="006D6146"/>
    <w:rsid w:val="00721BA8"/>
    <w:rsid w:val="00791A62"/>
    <w:rsid w:val="009447DA"/>
    <w:rsid w:val="00950AAB"/>
    <w:rsid w:val="009A539E"/>
    <w:rsid w:val="009B5285"/>
    <w:rsid w:val="009F7E8B"/>
    <w:rsid w:val="00A06D0F"/>
    <w:rsid w:val="00A848F0"/>
    <w:rsid w:val="00AA5BEA"/>
    <w:rsid w:val="00B02B76"/>
    <w:rsid w:val="00B87AC6"/>
    <w:rsid w:val="00B96C82"/>
    <w:rsid w:val="00BF116E"/>
    <w:rsid w:val="00C56E1A"/>
    <w:rsid w:val="00C8223C"/>
    <w:rsid w:val="00D32470"/>
    <w:rsid w:val="00DD7504"/>
    <w:rsid w:val="00E8252F"/>
    <w:rsid w:val="00F0234F"/>
    <w:rsid w:val="00F21AAE"/>
    <w:rsid w:val="00F87A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FDEE1E"/>
  <w15:chartTrackingRefBased/>
  <w15:docId w15:val="{ABFACD02-EB7D-4848-8C4A-3806B7228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5">
    <w:lsdException w:name="Normal" w:uiPriority="1"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1B27C4"/>
    <w:pPr>
      <w:widowControl w:val="0"/>
      <w:spacing w:after="0" w:line="240" w:lineRule="auto"/>
    </w:pPr>
    <w:rPr>
      <w:rFonts w:ascii="Tw Cen MT" w:eastAsia="Tw Cen MT" w:hAnsi="Tw Cen MT" w:cs="Tw Cen MT"/>
      <w:lang w:eastAsia="en-US"/>
    </w:rPr>
  </w:style>
  <w:style w:type="paragraph" w:styleId="Heading1">
    <w:name w:val="heading 1"/>
    <w:basedOn w:val="Normal"/>
    <w:link w:val="Heading1Char"/>
    <w:uiPriority w:val="1"/>
    <w:qFormat/>
    <w:rsid w:val="001B27C4"/>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1B27C4"/>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1B27C4"/>
    <w:rPr>
      <w:rFonts w:ascii="Minion Pro" w:eastAsia="Minion Pro" w:hAnsi="Minion Pro" w:cs="Minion Pro"/>
      <w:b/>
      <w:bCs/>
      <w:sz w:val="36"/>
      <w:szCs w:val="36"/>
      <w:lang w:eastAsia="en-US"/>
    </w:rPr>
  </w:style>
  <w:style w:type="character" w:customStyle="1" w:styleId="Heading3Char">
    <w:name w:val="Heading 3 Char"/>
    <w:basedOn w:val="DefaultParagraphFont"/>
    <w:link w:val="Heading3"/>
    <w:uiPriority w:val="1"/>
    <w:rsid w:val="001B27C4"/>
    <w:rPr>
      <w:rFonts w:ascii="Arial" w:eastAsia="Arial" w:hAnsi="Arial" w:cs="Arial"/>
      <w:b/>
      <w:bCs/>
      <w:sz w:val="20"/>
      <w:szCs w:val="20"/>
      <w:lang w:eastAsia="en-US"/>
    </w:rPr>
  </w:style>
  <w:style w:type="paragraph" w:styleId="BodyText">
    <w:name w:val="Body Text"/>
    <w:basedOn w:val="Normal"/>
    <w:link w:val="BodyTextChar"/>
    <w:uiPriority w:val="1"/>
    <w:qFormat/>
    <w:rsid w:val="001B27C4"/>
    <w:rPr>
      <w:sz w:val="18"/>
      <w:szCs w:val="18"/>
    </w:rPr>
  </w:style>
  <w:style w:type="character" w:customStyle="1" w:styleId="BodyTextChar">
    <w:name w:val="Body Text Char"/>
    <w:basedOn w:val="DefaultParagraphFont"/>
    <w:link w:val="BodyText"/>
    <w:uiPriority w:val="1"/>
    <w:rsid w:val="001B27C4"/>
    <w:rPr>
      <w:rFonts w:ascii="Tw Cen MT" w:eastAsia="Tw Cen MT" w:hAnsi="Tw Cen MT" w:cs="Tw Cen MT"/>
      <w:sz w:val="18"/>
      <w:szCs w:val="18"/>
      <w:lang w:eastAsia="en-US"/>
    </w:rPr>
  </w:style>
  <w:style w:type="paragraph" w:styleId="ListParagraph">
    <w:name w:val="List Paragraph"/>
    <w:basedOn w:val="Normal"/>
    <w:uiPriority w:val="1"/>
    <w:qFormat/>
    <w:rsid w:val="001B27C4"/>
    <w:pPr>
      <w:spacing w:before="9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1B27C4"/>
    <w:rPr>
      <w:color w:val="0563C1" w:themeColor="hyperlink"/>
      <w:u w:val="single"/>
    </w:rPr>
  </w:style>
  <w:style w:type="paragraph" w:styleId="BalloonText">
    <w:name w:val="Balloon Text"/>
    <w:basedOn w:val="Normal"/>
    <w:link w:val="BalloonTextChar"/>
    <w:uiPriority w:val="99"/>
    <w:semiHidden/>
    <w:unhideWhenUsed/>
    <w:rsid w:val="001B27C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27C4"/>
    <w:rPr>
      <w:rFonts w:ascii="Segoe UI" w:eastAsia="Tw Cen MT" w:hAnsi="Segoe UI" w:cs="Segoe UI"/>
      <w:sz w:val="18"/>
      <w:szCs w:val="18"/>
      <w:lang w:eastAsia="en-US"/>
    </w:rPr>
  </w:style>
  <w:style w:type="paragraph" w:styleId="Header">
    <w:name w:val="header"/>
    <w:basedOn w:val="Normal"/>
    <w:link w:val="HeaderChar"/>
    <w:uiPriority w:val="99"/>
    <w:unhideWhenUsed/>
    <w:rsid w:val="001B27C4"/>
    <w:pPr>
      <w:tabs>
        <w:tab w:val="center" w:pos="4680"/>
        <w:tab w:val="right" w:pos="9360"/>
      </w:tabs>
    </w:pPr>
  </w:style>
  <w:style w:type="character" w:customStyle="1" w:styleId="HeaderChar">
    <w:name w:val="Header Char"/>
    <w:basedOn w:val="DefaultParagraphFont"/>
    <w:link w:val="Header"/>
    <w:uiPriority w:val="99"/>
    <w:rsid w:val="001B27C4"/>
    <w:rPr>
      <w:rFonts w:ascii="Tw Cen MT" w:eastAsia="Tw Cen MT" w:hAnsi="Tw Cen MT" w:cs="Tw Cen MT"/>
      <w:lang w:eastAsia="en-US"/>
    </w:rPr>
  </w:style>
  <w:style w:type="paragraph" w:styleId="Footer">
    <w:name w:val="footer"/>
    <w:basedOn w:val="Normal"/>
    <w:link w:val="FooterChar"/>
    <w:uiPriority w:val="99"/>
    <w:unhideWhenUsed/>
    <w:rsid w:val="001B27C4"/>
    <w:pPr>
      <w:tabs>
        <w:tab w:val="center" w:pos="4680"/>
        <w:tab w:val="right" w:pos="9360"/>
      </w:tabs>
    </w:pPr>
  </w:style>
  <w:style w:type="character" w:customStyle="1" w:styleId="FooterChar">
    <w:name w:val="Footer Char"/>
    <w:basedOn w:val="DefaultParagraphFont"/>
    <w:link w:val="Footer"/>
    <w:uiPriority w:val="99"/>
    <w:rsid w:val="001B27C4"/>
    <w:rPr>
      <w:rFonts w:ascii="Tw Cen MT" w:eastAsia="Tw Cen MT" w:hAnsi="Tw Cen MT" w:cs="Tw Cen MT"/>
      <w:lang w:eastAsia="en-US"/>
    </w:rPr>
  </w:style>
  <w:style w:type="character" w:styleId="Emphasis">
    <w:name w:val="Emphasis"/>
    <w:basedOn w:val="DefaultParagraphFont"/>
    <w:uiPriority w:val="20"/>
    <w:qFormat/>
    <w:rsid w:val="001B27C4"/>
    <w:rPr>
      <w:i/>
      <w:iCs/>
    </w:rPr>
  </w:style>
  <w:style w:type="character" w:styleId="PlaceholderText">
    <w:name w:val="Placeholder Text"/>
    <w:basedOn w:val="DefaultParagraphFont"/>
    <w:uiPriority w:val="99"/>
    <w:semiHidden/>
    <w:rsid w:val="001B27C4"/>
    <w:rPr>
      <w:color w:val="808080"/>
    </w:rPr>
  </w:style>
  <w:style w:type="character" w:styleId="UnresolvedMention">
    <w:name w:val="Unresolved Mention"/>
    <w:basedOn w:val="DefaultParagraphFont"/>
    <w:uiPriority w:val="99"/>
    <w:semiHidden/>
    <w:unhideWhenUsed/>
    <w:rsid w:val="00B87A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midelossantos1215@gmail.com" TargetMode="Externa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195</TotalTime>
  <Pages>2</Pages>
  <Words>878</Words>
  <Characters>5006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VAIO-PC</dc:creator>
  <cp:keywords/>
  <dc:description/>
  <cp:lastModifiedBy>VAIO-PC</cp:lastModifiedBy>
  <cp:revision>9</cp:revision>
  <dcterms:created xsi:type="dcterms:W3CDTF">2019-03-30T08:42:00Z</dcterms:created>
  <dcterms:modified xsi:type="dcterms:W3CDTF">2019-04-01T09:58:00Z</dcterms:modified>
</cp:coreProperties>
</file>