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7DC9E" w14:textId="6FC97CB2" w:rsidR="00AE3E37" w:rsidRDefault="007131A6" w:rsidP="007131A6">
      <w:pPr>
        <w:pStyle w:val="Heading1"/>
        <w:spacing w:before="170"/>
        <w:ind w:left="0"/>
      </w:pPr>
      <w:r w:rsidRPr="007131A6">
        <w:rPr>
          <w:color w:val="337AB7"/>
        </w:rPr>
        <w:t xml:space="preserve">In Silico Modeling of </w:t>
      </w:r>
      <w:proofErr w:type="spellStart"/>
      <w:r w:rsidRPr="007131A6">
        <w:rPr>
          <w:color w:val="337AB7"/>
        </w:rPr>
        <w:t>Bcr-Abl</w:t>
      </w:r>
      <w:proofErr w:type="spellEnd"/>
      <w:r w:rsidRPr="007131A6">
        <w:rPr>
          <w:color w:val="337AB7"/>
        </w:rPr>
        <w:t xml:space="preserve"> Oncoprotein Isoforms in Chronic Myelogenous Leukemia</w:t>
      </w:r>
    </w:p>
    <w:p w14:paraId="280E581A" w14:textId="7AB1D9A6" w:rsidR="007131A6" w:rsidRPr="007131A6" w:rsidRDefault="007131A6" w:rsidP="007131A6">
      <w:pPr>
        <w:pStyle w:val="BodyText"/>
        <w:spacing w:before="73" w:line="198" w:lineRule="exact"/>
        <w:ind w:left="100" w:right="5987"/>
        <w:jc w:val="both"/>
        <w:rPr>
          <w:rFonts w:ascii="Arial"/>
        </w:rPr>
      </w:pPr>
      <w:r w:rsidRPr="007131A6">
        <w:rPr>
          <w:rFonts w:ascii="Arial"/>
        </w:rPr>
        <w:t>Entissar S. AlSuhaibani</w:t>
      </w:r>
      <w:r>
        <w:rPr>
          <w:rFonts w:ascii="Arial"/>
        </w:rPr>
        <w:t xml:space="preserve">, </w:t>
      </w:r>
      <w:r w:rsidRPr="007131A6">
        <w:rPr>
          <w:rFonts w:ascii="Arial"/>
        </w:rPr>
        <w:t>Department of Zoology, College of Science, King Saud University, Riyadh, Saudi Arabia</w:t>
      </w:r>
      <w:r>
        <w:rPr>
          <w:rFonts w:ascii="Arial"/>
        </w:rPr>
        <w:t>.</w:t>
      </w:r>
    </w:p>
    <w:p w14:paraId="4956A7EC" w14:textId="487C22E7" w:rsidR="007131A6" w:rsidRPr="007131A6" w:rsidRDefault="007131A6" w:rsidP="007131A6">
      <w:pPr>
        <w:pStyle w:val="BodyText"/>
        <w:spacing w:before="73" w:line="198" w:lineRule="exact"/>
        <w:ind w:left="100" w:right="5987"/>
        <w:jc w:val="both"/>
        <w:rPr>
          <w:rFonts w:ascii="Arial"/>
        </w:rPr>
      </w:pPr>
      <w:r w:rsidRPr="007131A6">
        <w:rPr>
          <w:rFonts w:ascii="Arial"/>
        </w:rPr>
        <w:t xml:space="preserve">Nadeem </w:t>
      </w:r>
      <w:proofErr w:type="spellStart"/>
      <w:proofErr w:type="gramStart"/>
      <w:r w:rsidRPr="007131A6">
        <w:rPr>
          <w:rFonts w:ascii="Arial"/>
        </w:rPr>
        <w:t>Kizilbash</w:t>
      </w:r>
      <w:r>
        <w:rPr>
          <w:rFonts w:ascii="Arial"/>
        </w:rPr>
        <w:t>,</w:t>
      </w:r>
      <w:r w:rsidRPr="007131A6">
        <w:rPr>
          <w:rFonts w:ascii="Arial"/>
        </w:rPr>
        <w:t>Department</w:t>
      </w:r>
      <w:proofErr w:type="spellEnd"/>
      <w:proofErr w:type="gramEnd"/>
      <w:r w:rsidRPr="007131A6">
        <w:rPr>
          <w:rFonts w:ascii="Arial"/>
        </w:rPr>
        <w:t xml:space="preserve"> of Medical Laboratory Technology, Faculty of Applied Medical Sciences, Northern Border University, </w:t>
      </w:r>
      <w:proofErr w:type="spellStart"/>
      <w:r w:rsidRPr="007131A6">
        <w:rPr>
          <w:rFonts w:ascii="Arial"/>
        </w:rPr>
        <w:t>Arar</w:t>
      </w:r>
      <w:proofErr w:type="spellEnd"/>
      <w:r w:rsidRPr="007131A6">
        <w:rPr>
          <w:rFonts w:ascii="Arial"/>
        </w:rPr>
        <w:t>, Saudi Arabia</w:t>
      </w:r>
      <w:r>
        <w:rPr>
          <w:rFonts w:ascii="Arial"/>
        </w:rPr>
        <w:t>.</w:t>
      </w:r>
    </w:p>
    <w:p w14:paraId="6269F299" w14:textId="77777777" w:rsidR="00AE3E37" w:rsidRDefault="00AE3E37">
      <w:pPr>
        <w:pStyle w:val="BodyText"/>
        <w:rPr>
          <w:rFonts w:ascii="Arial"/>
          <w:sz w:val="20"/>
        </w:rPr>
      </w:pPr>
    </w:p>
    <w:p w14:paraId="158CBDA3" w14:textId="77777777" w:rsidR="00AE3E37" w:rsidRDefault="00AE3E37">
      <w:pPr>
        <w:pStyle w:val="BodyText"/>
        <w:spacing w:before="3"/>
        <w:rPr>
          <w:rFonts w:ascii="Arial"/>
          <w:sz w:val="21"/>
        </w:rPr>
      </w:pPr>
    </w:p>
    <w:p w14:paraId="5353D8D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2B202D9" w14:textId="5D53C47E" w:rsidR="00AE3E37" w:rsidRDefault="00A9710C">
      <w:pPr>
        <w:pStyle w:val="Heading3"/>
        <w:spacing w:before="147"/>
        <w:jc w:val="both"/>
      </w:pPr>
      <w:r>
        <w:rPr>
          <w:color w:val="BF5A14"/>
        </w:rPr>
        <w:t>Abstract</w:t>
      </w:r>
      <w:r w:rsidR="00404E5B">
        <w:rPr>
          <w:color w:val="BF5A14"/>
        </w:rPr>
        <w:t xml:space="preserve"> </w:t>
      </w:r>
    </w:p>
    <w:p w14:paraId="0F7CBD05" w14:textId="431415D1" w:rsidR="00AE3E37" w:rsidRDefault="007131A6" w:rsidP="007131A6">
      <w:pPr>
        <w:pStyle w:val="Heading3"/>
        <w:spacing w:before="74"/>
        <w:jc w:val="both"/>
      </w:pPr>
      <w:r w:rsidRPr="007131A6">
        <w:rPr>
          <w:rFonts w:ascii="Tw Cen MT" w:eastAsia="Tw Cen MT" w:hAnsi="Tw Cen MT" w:cs="Tw Cen MT"/>
          <w:b w:val="0"/>
          <w:bCs w:val="0"/>
          <w:sz w:val="18"/>
          <w:szCs w:val="18"/>
        </w:rPr>
        <w:t xml:space="preserve">Chronic Myelogenous Leukemia (CML) is a cancer of the white blood cells. It develops, when a hematopoietic stem cell in the bone marrow acquires a Philadelphia (Ph) chromosome carrying the BCR-ABL fusion oncogene. The fusion of the ABL gene on chromosome 9 with the BCR gene on chromosome 22 results in the formation of two p210BCR-ABL onco-protein isoforms, b2a2 and b3a2, due to the head-to-tail fusion of p160BCR and p145ABL proteins. b2a2 and b3a2 differ in sequence by a 25 amino acid insertion and a Glu903Asp substitution. The oncogenic potential of p210BCR-ABL protein isoforms is due to the fact that the normally regulated tyrosine kinase activity of p145ABL becomes unregulated in both b2a2 and b3a2. p145ABL is a non-receptor tyrosine kinase that plays an important role in signal transduction and the regulation of cell growth. At the N-terminus, p145ABL contains the SH3, SH2 and SH1 domains. The SH2 and SH3 domains regulate tyrosine kinase function of p145ABL and the SH1 domain is responsible for the tyrosine kinase activity. The SH3 domain has a negative regulatory effect on the tyrosine kinase function. Deletion of SH3 or mutation in SH3 eliminates the tyrosine kinase activity of p145ABL. In silico modeling, using </w:t>
      </w:r>
      <w:proofErr w:type="spellStart"/>
      <w:r w:rsidRPr="007131A6">
        <w:rPr>
          <w:rFonts w:ascii="Tw Cen MT" w:eastAsia="Tw Cen MT" w:hAnsi="Tw Cen MT" w:cs="Tw Cen MT"/>
          <w:b w:val="0"/>
          <w:bCs w:val="0"/>
          <w:sz w:val="18"/>
          <w:szCs w:val="18"/>
        </w:rPr>
        <w:t>Psipred</w:t>
      </w:r>
      <w:proofErr w:type="spellEnd"/>
      <w:r w:rsidRPr="007131A6">
        <w:rPr>
          <w:rFonts w:ascii="Tw Cen MT" w:eastAsia="Tw Cen MT" w:hAnsi="Tw Cen MT" w:cs="Tw Cen MT"/>
          <w:b w:val="0"/>
          <w:bCs w:val="0"/>
          <w:sz w:val="18"/>
          <w:szCs w:val="18"/>
        </w:rPr>
        <w:t xml:space="preserve"> and </w:t>
      </w:r>
      <w:proofErr w:type="spellStart"/>
      <w:r w:rsidRPr="007131A6">
        <w:rPr>
          <w:rFonts w:ascii="Tw Cen MT" w:eastAsia="Tw Cen MT" w:hAnsi="Tw Cen MT" w:cs="Tw Cen MT"/>
          <w:b w:val="0"/>
          <w:bCs w:val="0"/>
          <w:sz w:val="18"/>
          <w:szCs w:val="18"/>
        </w:rPr>
        <w:t>ExPASy</w:t>
      </w:r>
      <w:proofErr w:type="spellEnd"/>
      <w:r w:rsidRPr="007131A6">
        <w:rPr>
          <w:rFonts w:ascii="Tw Cen MT" w:eastAsia="Tw Cen MT" w:hAnsi="Tw Cen MT" w:cs="Tw Cen MT"/>
          <w:b w:val="0"/>
          <w:bCs w:val="0"/>
          <w:sz w:val="18"/>
          <w:szCs w:val="18"/>
        </w:rPr>
        <w:t xml:space="preserve"> servers, was used to determine the secondary structural elements of these onco-protein isoforms. The structural elements of the two proteins were found to be different in the five </w:t>
      </w:r>
      <w:r w:rsidRPr="007131A6">
        <w:rPr>
          <w:rFonts w:ascii="Tw Cen MT" w:eastAsia="Tw Cen MT" w:hAnsi="Tw Cen MT" w:cs="Tw Cen MT"/>
          <w:b w:val="0"/>
          <w:bCs w:val="0"/>
          <w:sz w:val="18"/>
          <w:szCs w:val="18"/>
        </w:rPr>
        <w:t>-helices (</w:t>
      </w:r>
      <w:r w:rsidRPr="007131A6">
        <w:rPr>
          <w:rFonts w:ascii="Tw Cen MT" w:eastAsia="Tw Cen MT" w:hAnsi="Tw Cen MT" w:cs="Tw Cen MT"/>
          <w:b w:val="0"/>
          <w:bCs w:val="0"/>
          <w:sz w:val="18"/>
          <w:szCs w:val="18"/>
        </w:rPr>
        <w:t xml:space="preserve">25, </w:t>
      </w:r>
      <w:r w:rsidRPr="007131A6">
        <w:rPr>
          <w:rFonts w:ascii="Tw Cen MT" w:eastAsia="Tw Cen MT" w:hAnsi="Tw Cen MT" w:cs="Tw Cen MT"/>
          <w:b w:val="0"/>
          <w:bCs w:val="0"/>
          <w:sz w:val="18"/>
          <w:szCs w:val="18"/>
        </w:rPr>
        <w:t xml:space="preserve">́, </w:t>
      </w:r>
      <w:r w:rsidRPr="007131A6">
        <w:rPr>
          <w:rFonts w:ascii="Tw Cen MT" w:eastAsia="Tw Cen MT" w:hAnsi="Tw Cen MT" w:cs="Tw Cen MT"/>
          <w:b w:val="0"/>
          <w:bCs w:val="0"/>
          <w:sz w:val="18"/>
          <w:szCs w:val="18"/>
        </w:rPr>
        <w:t xml:space="preserve">26, </w:t>
      </w:r>
      <w:r w:rsidRPr="007131A6">
        <w:rPr>
          <w:rFonts w:ascii="Tw Cen MT" w:eastAsia="Tw Cen MT" w:hAnsi="Tw Cen MT" w:cs="Tw Cen MT"/>
          <w:b w:val="0"/>
          <w:bCs w:val="0"/>
          <w:sz w:val="18"/>
          <w:szCs w:val="18"/>
        </w:rPr>
        <w:t xml:space="preserve">27 and </w:t>
      </w:r>
      <w:r w:rsidRPr="007131A6">
        <w:rPr>
          <w:rFonts w:ascii="Tw Cen MT" w:eastAsia="Tw Cen MT" w:hAnsi="Tw Cen MT" w:cs="Tw Cen MT"/>
          <w:b w:val="0"/>
          <w:bCs w:val="0"/>
          <w:sz w:val="18"/>
          <w:szCs w:val="18"/>
        </w:rPr>
        <w:t xml:space="preserve">29) and nine </w:t>
      </w:r>
      <w:r w:rsidRPr="007131A6">
        <w:rPr>
          <w:rFonts w:ascii="Calibri" w:eastAsia="Tw Cen MT" w:hAnsi="Calibri" w:cs="Calibri"/>
          <w:b w:val="0"/>
          <w:bCs w:val="0"/>
          <w:sz w:val="18"/>
          <w:szCs w:val="18"/>
        </w:rPr>
        <w:t>β</w:t>
      </w:r>
      <w:r w:rsidRPr="007131A6">
        <w:rPr>
          <w:rFonts w:ascii="Tw Cen MT" w:eastAsia="Tw Cen MT" w:hAnsi="Tw Cen MT" w:cs="Tw Cen MT"/>
          <w:b w:val="0"/>
          <w:bCs w:val="0"/>
          <w:sz w:val="18"/>
          <w:szCs w:val="18"/>
        </w:rPr>
        <w:t>-strands (</w:t>
      </w:r>
      <w:r w:rsidRPr="007131A6">
        <w:rPr>
          <w:rFonts w:ascii="Calibri" w:eastAsia="Tw Cen MT" w:hAnsi="Calibri" w:cs="Calibri"/>
          <w:b w:val="0"/>
          <w:bCs w:val="0"/>
          <w:sz w:val="18"/>
          <w:szCs w:val="18"/>
        </w:rPr>
        <w:t>β</w:t>
      </w:r>
      <w:r w:rsidRPr="007131A6">
        <w:rPr>
          <w:rFonts w:ascii="Tw Cen MT" w:eastAsia="Tw Cen MT" w:hAnsi="Tw Cen MT" w:cs="Tw Cen MT"/>
          <w:b w:val="0"/>
          <w:bCs w:val="0"/>
          <w:sz w:val="18"/>
          <w:szCs w:val="18"/>
        </w:rPr>
        <w:t xml:space="preserve">12, </w:t>
      </w:r>
      <w:r w:rsidRPr="007131A6">
        <w:rPr>
          <w:rFonts w:ascii="Calibri" w:eastAsia="Tw Cen MT" w:hAnsi="Calibri" w:cs="Calibri"/>
          <w:b w:val="0"/>
          <w:bCs w:val="0"/>
          <w:sz w:val="18"/>
          <w:szCs w:val="18"/>
        </w:rPr>
        <w:t>β</w:t>
      </w:r>
      <w:r w:rsidRPr="007131A6">
        <w:rPr>
          <w:rFonts w:ascii="Tw Cen MT" w:eastAsia="Tw Cen MT" w:hAnsi="Tw Cen MT" w:cs="Tw Cen MT"/>
          <w:b w:val="0"/>
          <w:bCs w:val="0"/>
          <w:sz w:val="18"/>
          <w:szCs w:val="18"/>
        </w:rPr>
        <w:t xml:space="preserve">13, </w:t>
      </w:r>
      <w:r w:rsidRPr="007131A6">
        <w:rPr>
          <w:rFonts w:ascii="Calibri" w:eastAsia="Tw Cen MT" w:hAnsi="Calibri" w:cs="Calibri"/>
          <w:b w:val="0"/>
          <w:bCs w:val="0"/>
          <w:sz w:val="18"/>
          <w:szCs w:val="18"/>
        </w:rPr>
        <w:t>β</w:t>
      </w:r>
      <w:r w:rsidRPr="007131A6">
        <w:rPr>
          <w:rFonts w:ascii="Tw Cen MT" w:eastAsia="Tw Cen MT" w:hAnsi="Tw Cen MT" w:cs="Tw Cen MT"/>
          <w:b w:val="0"/>
          <w:bCs w:val="0"/>
          <w:sz w:val="18"/>
          <w:szCs w:val="18"/>
        </w:rPr>
        <w:t xml:space="preserve">15, </w:t>
      </w:r>
      <w:r w:rsidRPr="007131A6">
        <w:rPr>
          <w:rFonts w:ascii="Calibri" w:eastAsia="Tw Cen MT" w:hAnsi="Calibri" w:cs="Calibri"/>
          <w:b w:val="0"/>
          <w:bCs w:val="0"/>
          <w:sz w:val="18"/>
          <w:szCs w:val="18"/>
        </w:rPr>
        <w:t>β</w:t>
      </w:r>
      <w:r w:rsidRPr="007131A6">
        <w:rPr>
          <w:rFonts w:ascii="Tw Cen MT" w:eastAsia="Tw Cen MT" w:hAnsi="Tw Cen MT" w:cs="Tw Cen MT"/>
          <w:b w:val="0"/>
          <w:bCs w:val="0"/>
          <w:sz w:val="18"/>
          <w:szCs w:val="18"/>
        </w:rPr>
        <w:t xml:space="preserve">́, </w:t>
      </w:r>
      <w:r w:rsidRPr="007131A6">
        <w:rPr>
          <w:rFonts w:ascii="Calibri" w:eastAsia="Tw Cen MT" w:hAnsi="Calibri" w:cs="Calibri"/>
          <w:b w:val="0"/>
          <w:bCs w:val="0"/>
          <w:sz w:val="18"/>
          <w:szCs w:val="18"/>
        </w:rPr>
        <w:t>β</w:t>
      </w:r>
      <w:r w:rsidRPr="007131A6">
        <w:rPr>
          <w:rFonts w:ascii="Tw Cen MT" w:eastAsia="Tw Cen MT" w:hAnsi="Tw Cen MT" w:cs="Tw Cen MT"/>
          <w:b w:val="0"/>
          <w:bCs w:val="0"/>
          <w:sz w:val="18"/>
          <w:szCs w:val="18"/>
        </w:rPr>
        <w:t xml:space="preserve">17, </w:t>
      </w:r>
      <w:r w:rsidRPr="007131A6">
        <w:rPr>
          <w:rFonts w:ascii="Calibri" w:eastAsia="Tw Cen MT" w:hAnsi="Calibri" w:cs="Calibri"/>
          <w:b w:val="0"/>
          <w:bCs w:val="0"/>
          <w:sz w:val="18"/>
          <w:szCs w:val="18"/>
        </w:rPr>
        <w:t>β</w:t>
      </w:r>
      <w:r w:rsidRPr="007131A6">
        <w:rPr>
          <w:rFonts w:ascii="Tw Cen MT" w:eastAsia="Tw Cen MT" w:hAnsi="Tw Cen MT" w:cs="Tw Cen MT"/>
          <w:b w:val="0"/>
          <w:bCs w:val="0"/>
          <w:sz w:val="18"/>
          <w:szCs w:val="18"/>
        </w:rPr>
        <w:t xml:space="preserve">30, </w:t>
      </w:r>
      <w:r w:rsidRPr="007131A6">
        <w:rPr>
          <w:rFonts w:ascii="Calibri" w:eastAsia="Tw Cen MT" w:hAnsi="Calibri" w:cs="Calibri"/>
          <w:b w:val="0"/>
          <w:bCs w:val="0"/>
          <w:sz w:val="18"/>
          <w:szCs w:val="18"/>
        </w:rPr>
        <w:t>β̋</w:t>
      </w:r>
      <w:r w:rsidRPr="007131A6">
        <w:rPr>
          <w:rFonts w:ascii="Tw Cen MT" w:eastAsia="Tw Cen MT" w:hAnsi="Tw Cen MT" w:cs="Tw Cen MT"/>
          <w:b w:val="0"/>
          <w:bCs w:val="0"/>
          <w:sz w:val="18"/>
          <w:szCs w:val="18"/>
        </w:rPr>
        <w:t xml:space="preserve">, </w:t>
      </w:r>
      <w:r w:rsidRPr="007131A6">
        <w:rPr>
          <w:rFonts w:ascii="Calibri" w:eastAsia="Tw Cen MT" w:hAnsi="Calibri" w:cs="Calibri"/>
          <w:b w:val="0"/>
          <w:bCs w:val="0"/>
          <w:sz w:val="18"/>
          <w:szCs w:val="18"/>
        </w:rPr>
        <w:t>β</w:t>
      </w:r>
      <w:r w:rsidRPr="007131A6">
        <w:rPr>
          <w:rFonts w:ascii="Tw Cen MT" w:eastAsia="Tw Cen MT" w:hAnsi="Tw Cen MT" w:cs="Tw Cen MT"/>
          <w:b w:val="0"/>
          <w:bCs w:val="0"/>
          <w:sz w:val="18"/>
          <w:szCs w:val="18"/>
        </w:rPr>
        <w:t xml:space="preserve">34 and </w:t>
      </w:r>
      <w:r w:rsidRPr="007131A6">
        <w:rPr>
          <w:rFonts w:ascii="Calibri" w:eastAsia="Tw Cen MT" w:hAnsi="Calibri" w:cs="Calibri"/>
          <w:b w:val="0"/>
          <w:bCs w:val="0"/>
          <w:sz w:val="18"/>
          <w:szCs w:val="18"/>
        </w:rPr>
        <w:t>β</w:t>
      </w:r>
      <w:r w:rsidRPr="007131A6">
        <w:rPr>
          <w:rFonts w:ascii="Tw Cen MT" w:eastAsia="Tw Cen MT" w:hAnsi="Tw Cen MT" w:cs="Tw Cen MT"/>
          <w:b w:val="0"/>
          <w:bCs w:val="0"/>
          <w:sz w:val="18"/>
          <w:szCs w:val="18"/>
        </w:rPr>
        <w:t>35) which comprise the SH1, SH2, SH3 and DNA-binding domains which can result in different roles played by the two isoforms in mediating signal transduction during the course of Chronic Myelogenous Leukemia. Both p210BCR-ABL proteins can cause pleiotropic effects on many signal transduction pathways that can affect cell survival, disease progression, genomic stability and hematopoiesis</w:t>
      </w:r>
    </w:p>
    <w:p w14:paraId="3F6C1FBD" w14:textId="3178DF84" w:rsidR="00AE3E37" w:rsidRDefault="00AE3E37">
      <w:pPr>
        <w:pStyle w:val="BodyText"/>
        <w:spacing w:before="2"/>
        <w:rPr>
          <w:rFonts w:ascii="Arial"/>
          <w:b/>
          <w:sz w:val="16"/>
        </w:rPr>
      </w:pPr>
    </w:p>
    <w:p w14:paraId="320A74F8"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1416C13" w14:textId="77777777" w:rsidR="007131A6" w:rsidRPr="007131A6" w:rsidRDefault="007131A6" w:rsidP="007131A6">
      <w:pPr>
        <w:spacing w:line="200" w:lineRule="exact"/>
        <w:jc w:val="both"/>
        <w:rPr>
          <w:rFonts w:ascii="Calibri" w:eastAsia="Calibri" w:hAnsi="Calibri" w:cs="Calibri"/>
          <w:sz w:val="18"/>
        </w:rPr>
      </w:pPr>
      <w:r w:rsidRPr="007131A6">
        <w:rPr>
          <w:rFonts w:ascii="Calibri" w:eastAsia="Calibri" w:hAnsi="Calibri" w:cs="Calibri"/>
          <w:sz w:val="18"/>
        </w:rPr>
        <w:t xml:space="preserve">Entissar </w:t>
      </w:r>
      <w:proofErr w:type="spellStart"/>
      <w:r w:rsidRPr="007131A6">
        <w:rPr>
          <w:rFonts w:ascii="Calibri" w:eastAsia="Calibri" w:hAnsi="Calibri" w:cs="Calibri"/>
          <w:sz w:val="18"/>
        </w:rPr>
        <w:t>Sulaiman</w:t>
      </w:r>
      <w:proofErr w:type="spellEnd"/>
      <w:r w:rsidRPr="007131A6">
        <w:rPr>
          <w:rFonts w:ascii="Calibri" w:eastAsia="Calibri" w:hAnsi="Calibri" w:cs="Calibri"/>
          <w:sz w:val="18"/>
        </w:rPr>
        <w:t xml:space="preserve"> AlSuhaibani, Nadeem Abbas </w:t>
      </w:r>
      <w:proofErr w:type="spellStart"/>
      <w:r w:rsidRPr="007131A6">
        <w:rPr>
          <w:rFonts w:ascii="Calibri" w:eastAsia="Calibri" w:hAnsi="Calibri" w:cs="Calibri"/>
          <w:sz w:val="18"/>
        </w:rPr>
        <w:t>Kizilbash</w:t>
      </w:r>
      <w:proofErr w:type="spellEnd"/>
      <w:r w:rsidRPr="007131A6">
        <w:rPr>
          <w:rFonts w:ascii="Calibri" w:eastAsia="Calibri" w:hAnsi="Calibri" w:cs="Calibri"/>
          <w:sz w:val="18"/>
        </w:rPr>
        <w:t xml:space="preserve">, Javid Iqbal </w:t>
      </w:r>
      <w:proofErr w:type="spellStart"/>
      <w:r w:rsidRPr="007131A6">
        <w:rPr>
          <w:rFonts w:ascii="Calibri" w:eastAsia="Calibri" w:hAnsi="Calibri" w:cs="Calibri"/>
          <w:sz w:val="18"/>
        </w:rPr>
        <w:t>Dasti</w:t>
      </w:r>
      <w:proofErr w:type="spellEnd"/>
      <w:r w:rsidRPr="007131A6">
        <w:rPr>
          <w:rFonts w:ascii="Calibri" w:eastAsia="Calibri" w:hAnsi="Calibri" w:cs="Calibri"/>
          <w:sz w:val="18"/>
        </w:rPr>
        <w:t xml:space="preserve">, Sajid Malik, Fatima Al </w:t>
      </w:r>
      <w:proofErr w:type="spellStart"/>
      <w:r w:rsidRPr="007131A6">
        <w:rPr>
          <w:rFonts w:ascii="Calibri" w:eastAsia="Calibri" w:hAnsi="Calibri" w:cs="Calibri"/>
          <w:sz w:val="18"/>
        </w:rPr>
        <w:t>Beladi</w:t>
      </w:r>
      <w:proofErr w:type="spellEnd"/>
      <w:r w:rsidRPr="007131A6">
        <w:rPr>
          <w:rFonts w:ascii="Calibri" w:eastAsia="Calibri" w:hAnsi="Calibri" w:cs="Calibri"/>
          <w:sz w:val="18"/>
        </w:rPr>
        <w:t xml:space="preserve"> and </w:t>
      </w:r>
      <w:proofErr w:type="spellStart"/>
      <w:r w:rsidRPr="007131A6">
        <w:rPr>
          <w:rFonts w:ascii="Calibri" w:eastAsia="Calibri" w:hAnsi="Calibri" w:cs="Calibri"/>
          <w:sz w:val="18"/>
        </w:rPr>
        <w:t>Nermin</w:t>
      </w:r>
      <w:proofErr w:type="spellEnd"/>
      <w:r w:rsidRPr="007131A6">
        <w:rPr>
          <w:rFonts w:ascii="Calibri" w:eastAsia="Calibri" w:hAnsi="Calibri" w:cs="Calibri"/>
          <w:sz w:val="18"/>
        </w:rPr>
        <w:t xml:space="preserve"> El-</w:t>
      </w:r>
      <w:proofErr w:type="spellStart"/>
      <w:r w:rsidRPr="007131A6">
        <w:rPr>
          <w:rFonts w:ascii="Calibri" w:eastAsia="Calibri" w:hAnsi="Calibri" w:cs="Calibri"/>
          <w:sz w:val="18"/>
        </w:rPr>
        <w:t>Morshedi</w:t>
      </w:r>
      <w:proofErr w:type="spellEnd"/>
      <w:r w:rsidRPr="007131A6">
        <w:rPr>
          <w:rFonts w:ascii="Calibri" w:eastAsia="Calibri" w:hAnsi="Calibri" w:cs="Calibri"/>
          <w:sz w:val="18"/>
        </w:rPr>
        <w:t xml:space="preserve"> (</w:t>
      </w:r>
      <w:proofErr w:type="gramStart"/>
      <w:r w:rsidRPr="007131A6">
        <w:rPr>
          <w:rFonts w:ascii="Calibri" w:eastAsia="Calibri" w:hAnsi="Calibri" w:cs="Calibri"/>
          <w:sz w:val="18"/>
        </w:rPr>
        <w:t>2015 )</w:t>
      </w:r>
      <w:proofErr w:type="gramEnd"/>
      <w:r w:rsidRPr="007131A6">
        <w:rPr>
          <w:rFonts w:ascii="Calibri" w:eastAsia="Calibri" w:hAnsi="Calibri" w:cs="Calibri"/>
          <w:sz w:val="18"/>
        </w:rPr>
        <w:t>: Polymorphisms in Promoter Regions of IL-6 and IL-10 Genes in Breast Cancer: a Case-control Study. Genetics and Molecular Research, 15(1): 1501736 (Impact Factor:1.20)</w:t>
      </w:r>
    </w:p>
    <w:p w14:paraId="75DC10AE" w14:textId="77777777" w:rsidR="007131A6" w:rsidRPr="007131A6" w:rsidRDefault="007131A6" w:rsidP="007131A6">
      <w:pPr>
        <w:spacing w:line="200" w:lineRule="exact"/>
        <w:jc w:val="both"/>
        <w:rPr>
          <w:rFonts w:ascii="Calibri" w:eastAsia="Calibri" w:hAnsi="Calibri" w:cs="Calibri"/>
          <w:sz w:val="18"/>
        </w:rPr>
      </w:pPr>
    </w:p>
    <w:p w14:paraId="1678E61D" w14:textId="77777777" w:rsidR="007131A6" w:rsidRPr="007131A6" w:rsidRDefault="007131A6" w:rsidP="007131A6">
      <w:pPr>
        <w:spacing w:line="200" w:lineRule="exact"/>
        <w:jc w:val="both"/>
        <w:rPr>
          <w:rFonts w:ascii="Calibri" w:eastAsia="Calibri" w:hAnsi="Calibri" w:cs="Calibri"/>
          <w:sz w:val="18"/>
        </w:rPr>
      </w:pPr>
      <w:proofErr w:type="spellStart"/>
      <w:r w:rsidRPr="007131A6">
        <w:rPr>
          <w:rFonts w:ascii="Calibri" w:eastAsia="Calibri" w:hAnsi="Calibri" w:cs="Calibri"/>
          <w:sz w:val="18"/>
        </w:rPr>
        <w:t>Raed</w:t>
      </w:r>
      <w:proofErr w:type="spellEnd"/>
      <w:r w:rsidRPr="007131A6">
        <w:rPr>
          <w:rFonts w:ascii="Calibri" w:eastAsia="Calibri" w:hAnsi="Calibri" w:cs="Calibri"/>
          <w:sz w:val="18"/>
        </w:rPr>
        <w:t xml:space="preserve"> Mahmoud Al-</w:t>
      </w:r>
      <w:proofErr w:type="spellStart"/>
      <w:proofErr w:type="gramStart"/>
      <w:r w:rsidRPr="007131A6">
        <w:rPr>
          <w:rFonts w:ascii="Calibri" w:eastAsia="Calibri" w:hAnsi="Calibri" w:cs="Calibri"/>
          <w:sz w:val="18"/>
        </w:rPr>
        <w:t>Atiyat</w:t>
      </w:r>
      <w:proofErr w:type="spellEnd"/>
      <w:r w:rsidRPr="007131A6">
        <w:rPr>
          <w:rFonts w:ascii="Calibri" w:eastAsia="Calibri" w:hAnsi="Calibri" w:cs="Calibri"/>
          <w:sz w:val="18"/>
        </w:rPr>
        <w:t xml:space="preserve"> ,</w:t>
      </w:r>
      <w:proofErr w:type="gramEnd"/>
      <w:r w:rsidRPr="007131A6">
        <w:rPr>
          <w:rFonts w:ascii="Calibri" w:eastAsia="Calibri" w:hAnsi="Calibri" w:cs="Calibri"/>
          <w:sz w:val="18"/>
        </w:rPr>
        <w:t xml:space="preserve"> Gamal Suliman, Entissar AlSuhaibani, Ahmad El-</w:t>
      </w:r>
      <w:proofErr w:type="spellStart"/>
      <w:r w:rsidRPr="007131A6">
        <w:rPr>
          <w:rFonts w:ascii="Calibri" w:eastAsia="Calibri" w:hAnsi="Calibri" w:cs="Calibri"/>
          <w:sz w:val="18"/>
        </w:rPr>
        <w:t>Waziry</w:t>
      </w:r>
      <w:proofErr w:type="spellEnd"/>
      <w:r w:rsidRPr="007131A6">
        <w:rPr>
          <w:rFonts w:ascii="Calibri" w:eastAsia="Calibri" w:hAnsi="Calibri" w:cs="Calibri"/>
          <w:sz w:val="18"/>
        </w:rPr>
        <w:t>, Abdullah Al-</w:t>
      </w:r>
      <w:proofErr w:type="spellStart"/>
      <w:r w:rsidRPr="007131A6">
        <w:rPr>
          <w:rFonts w:ascii="Calibri" w:eastAsia="Calibri" w:hAnsi="Calibri" w:cs="Calibri"/>
          <w:sz w:val="18"/>
        </w:rPr>
        <w:t>Owaimer</w:t>
      </w:r>
      <w:proofErr w:type="spellEnd"/>
      <w:r w:rsidRPr="007131A6">
        <w:rPr>
          <w:rFonts w:ascii="Calibri" w:eastAsia="Calibri" w:hAnsi="Calibri" w:cs="Calibri"/>
          <w:sz w:val="18"/>
        </w:rPr>
        <w:t xml:space="preserve"> and  </w:t>
      </w:r>
      <w:proofErr w:type="spellStart"/>
      <w:r w:rsidRPr="007131A6">
        <w:rPr>
          <w:rFonts w:ascii="Calibri" w:eastAsia="Calibri" w:hAnsi="Calibri" w:cs="Calibri"/>
          <w:sz w:val="18"/>
        </w:rPr>
        <w:t>Saeid</w:t>
      </w:r>
      <w:proofErr w:type="spellEnd"/>
      <w:r w:rsidRPr="007131A6">
        <w:rPr>
          <w:rFonts w:ascii="Calibri" w:eastAsia="Calibri" w:hAnsi="Calibri" w:cs="Calibri"/>
          <w:sz w:val="18"/>
        </w:rPr>
        <w:t xml:space="preserve"> </w:t>
      </w:r>
      <w:proofErr w:type="spellStart"/>
      <w:r w:rsidRPr="007131A6">
        <w:rPr>
          <w:rFonts w:ascii="Calibri" w:eastAsia="Calibri" w:hAnsi="Calibri" w:cs="Calibri"/>
          <w:sz w:val="18"/>
        </w:rPr>
        <w:t>Basmaeil</w:t>
      </w:r>
      <w:proofErr w:type="spellEnd"/>
      <w:r w:rsidRPr="007131A6">
        <w:rPr>
          <w:rFonts w:ascii="Calibri" w:eastAsia="Calibri" w:hAnsi="Calibri" w:cs="Calibri"/>
          <w:sz w:val="18"/>
        </w:rPr>
        <w:t xml:space="preserve"> (2016): The differentiation of camel breeds based on meat measurements using discriminant analysis. Tropical Animal Health and Production, 1: 1-8 (Impact Factor: 0.817)</w:t>
      </w:r>
    </w:p>
    <w:p w14:paraId="3720A69A" w14:textId="77777777" w:rsidR="007131A6" w:rsidRPr="007131A6" w:rsidRDefault="007131A6" w:rsidP="007131A6">
      <w:pPr>
        <w:spacing w:line="200" w:lineRule="exact"/>
        <w:jc w:val="both"/>
        <w:rPr>
          <w:rFonts w:ascii="Calibri" w:eastAsia="Calibri" w:hAnsi="Calibri" w:cs="Calibri"/>
          <w:sz w:val="18"/>
        </w:rPr>
      </w:pPr>
    </w:p>
    <w:p w14:paraId="7AA42108" w14:textId="77777777" w:rsidR="007131A6" w:rsidRPr="007131A6" w:rsidRDefault="007131A6" w:rsidP="007131A6">
      <w:pPr>
        <w:spacing w:line="200" w:lineRule="exact"/>
        <w:jc w:val="both"/>
        <w:rPr>
          <w:rFonts w:ascii="Calibri" w:eastAsia="Calibri" w:hAnsi="Calibri" w:cs="Calibri"/>
          <w:sz w:val="18"/>
        </w:rPr>
      </w:pPr>
      <w:r w:rsidRPr="007131A6">
        <w:rPr>
          <w:rFonts w:ascii="Calibri" w:eastAsia="Calibri" w:hAnsi="Calibri" w:cs="Calibri"/>
          <w:sz w:val="18"/>
        </w:rPr>
        <w:t>Entissar S. Al-</w:t>
      </w:r>
      <w:proofErr w:type="spellStart"/>
      <w:proofErr w:type="gramStart"/>
      <w:r w:rsidRPr="007131A6">
        <w:rPr>
          <w:rFonts w:ascii="Calibri" w:eastAsia="Calibri" w:hAnsi="Calibri" w:cs="Calibri"/>
          <w:sz w:val="18"/>
        </w:rPr>
        <w:t>Suhaibani</w:t>
      </w:r>
      <w:proofErr w:type="spellEnd"/>
      <w:r w:rsidRPr="007131A6">
        <w:rPr>
          <w:rFonts w:ascii="Calibri" w:eastAsia="Calibri" w:hAnsi="Calibri" w:cs="Calibri"/>
          <w:sz w:val="18"/>
        </w:rPr>
        <w:t>,  Nadeem</w:t>
      </w:r>
      <w:proofErr w:type="gramEnd"/>
      <w:r w:rsidRPr="007131A6">
        <w:rPr>
          <w:rFonts w:ascii="Calibri" w:eastAsia="Calibri" w:hAnsi="Calibri" w:cs="Calibri"/>
          <w:sz w:val="18"/>
        </w:rPr>
        <w:t xml:space="preserve"> </w:t>
      </w:r>
      <w:proofErr w:type="spellStart"/>
      <w:r w:rsidRPr="007131A6">
        <w:rPr>
          <w:rFonts w:ascii="Calibri" w:eastAsia="Calibri" w:hAnsi="Calibri" w:cs="Calibri"/>
          <w:sz w:val="18"/>
        </w:rPr>
        <w:t>Kizilbash</w:t>
      </w:r>
      <w:proofErr w:type="spellEnd"/>
      <w:r w:rsidRPr="007131A6">
        <w:rPr>
          <w:rFonts w:ascii="Calibri" w:eastAsia="Calibri" w:hAnsi="Calibri" w:cs="Calibri"/>
          <w:sz w:val="18"/>
        </w:rPr>
        <w:t xml:space="preserve"> and </w:t>
      </w:r>
      <w:proofErr w:type="spellStart"/>
      <w:r w:rsidRPr="007131A6">
        <w:rPr>
          <w:rFonts w:ascii="Calibri" w:eastAsia="Calibri" w:hAnsi="Calibri" w:cs="Calibri"/>
          <w:sz w:val="18"/>
        </w:rPr>
        <w:t>Nermin</w:t>
      </w:r>
      <w:proofErr w:type="spellEnd"/>
      <w:r w:rsidRPr="007131A6">
        <w:rPr>
          <w:rFonts w:ascii="Calibri" w:eastAsia="Calibri" w:hAnsi="Calibri" w:cs="Calibri"/>
          <w:sz w:val="18"/>
        </w:rPr>
        <w:t xml:space="preserve"> El-</w:t>
      </w:r>
      <w:proofErr w:type="spellStart"/>
      <w:r w:rsidRPr="007131A6">
        <w:rPr>
          <w:rFonts w:ascii="Calibri" w:eastAsia="Calibri" w:hAnsi="Calibri" w:cs="Calibri"/>
          <w:sz w:val="18"/>
        </w:rPr>
        <w:t>Morshedi</w:t>
      </w:r>
      <w:proofErr w:type="spellEnd"/>
      <w:r w:rsidRPr="007131A6">
        <w:rPr>
          <w:rFonts w:ascii="Calibri" w:eastAsia="Calibri" w:hAnsi="Calibri" w:cs="Calibri"/>
          <w:sz w:val="18"/>
        </w:rPr>
        <w:t xml:space="preserve"> (2017): Mutations in HODX13 and ZRS/LMBR1 Genes and Chromosomal Abnormalities Cause Congenital Limb Defects. Cell Science and Report, 4 (3):73-74 </w:t>
      </w:r>
    </w:p>
    <w:p w14:paraId="05942DDD" w14:textId="77777777" w:rsidR="007131A6" w:rsidRPr="007131A6" w:rsidRDefault="007131A6" w:rsidP="007131A6">
      <w:pPr>
        <w:spacing w:line="200" w:lineRule="exact"/>
        <w:jc w:val="both"/>
        <w:rPr>
          <w:rFonts w:ascii="Calibri" w:eastAsia="Calibri" w:hAnsi="Calibri" w:cs="Calibri"/>
          <w:sz w:val="18"/>
        </w:rPr>
      </w:pPr>
    </w:p>
    <w:p w14:paraId="20B037CD" w14:textId="77777777" w:rsidR="007131A6" w:rsidRPr="007131A6" w:rsidRDefault="007131A6" w:rsidP="007131A6">
      <w:pPr>
        <w:spacing w:line="200" w:lineRule="exact"/>
        <w:jc w:val="both"/>
        <w:rPr>
          <w:rFonts w:ascii="Calibri" w:eastAsia="Calibri" w:hAnsi="Calibri" w:cs="Calibri"/>
          <w:sz w:val="18"/>
        </w:rPr>
      </w:pPr>
      <w:r w:rsidRPr="007131A6">
        <w:rPr>
          <w:rFonts w:ascii="Calibri" w:eastAsia="Calibri" w:hAnsi="Calibri" w:cs="Calibri"/>
          <w:sz w:val="18"/>
        </w:rPr>
        <w:t>Norah Fahad Al-</w:t>
      </w:r>
      <w:proofErr w:type="spellStart"/>
      <w:r w:rsidRPr="007131A6">
        <w:rPr>
          <w:rFonts w:ascii="Calibri" w:eastAsia="Calibri" w:hAnsi="Calibri" w:cs="Calibri"/>
          <w:sz w:val="18"/>
        </w:rPr>
        <w:t>Hur</w:t>
      </w:r>
      <w:proofErr w:type="spellEnd"/>
      <w:r w:rsidRPr="007131A6">
        <w:rPr>
          <w:rFonts w:ascii="Calibri" w:eastAsia="Calibri" w:hAnsi="Calibri" w:cs="Calibri"/>
          <w:sz w:val="18"/>
        </w:rPr>
        <w:t xml:space="preserve"> </w:t>
      </w:r>
      <w:proofErr w:type="gramStart"/>
      <w:r w:rsidRPr="007131A6">
        <w:rPr>
          <w:rFonts w:ascii="Calibri" w:eastAsia="Calibri" w:hAnsi="Calibri" w:cs="Calibri"/>
          <w:sz w:val="18"/>
        </w:rPr>
        <w:t>and  Entissar</w:t>
      </w:r>
      <w:proofErr w:type="gramEnd"/>
      <w:r w:rsidRPr="007131A6">
        <w:rPr>
          <w:rFonts w:ascii="Calibri" w:eastAsia="Calibri" w:hAnsi="Calibri" w:cs="Calibri"/>
          <w:sz w:val="18"/>
        </w:rPr>
        <w:t xml:space="preserve"> </w:t>
      </w:r>
      <w:proofErr w:type="spellStart"/>
      <w:r w:rsidRPr="007131A6">
        <w:rPr>
          <w:rFonts w:ascii="Calibri" w:eastAsia="Calibri" w:hAnsi="Calibri" w:cs="Calibri"/>
          <w:sz w:val="18"/>
        </w:rPr>
        <w:t>Alsuhaibani</w:t>
      </w:r>
      <w:proofErr w:type="spellEnd"/>
      <w:r w:rsidRPr="007131A6">
        <w:rPr>
          <w:rFonts w:ascii="Calibri" w:eastAsia="Calibri" w:hAnsi="Calibri" w:cs="Calibri"/>
          <w:sz w:val="18"/>
        </w:rPr>
        <w:t xml:space="preserve"> (2017): Consanguinity and Associated Conditions Prevalence in Fragile X Syndrome Cases in Eastern Region in Saudi Arabia. Journal of Health, Medicine and Nursing, 36:1-7 (Impact Factor: </w:t>
      </w:r>
      <w:proofErr w:type="gramStart"/>
      <w:r w:rsidRPr="007131A6">
        <w:rPr>
          <w:rFonts w:ascii="Calibri" w:eastAsia="Calibri" w:hAnsi="Calibri" w:cs="Calibri"/>
          <w:sz w:val="18"/>
        </w:rPr>
        <w:t>3 )</w:t>
      </w:r>
      <w:proofErr w:type="gramEnd"/>
    </w:p>
    <w:p w14:paraId="23597603" w14:textId="77777777" w:rsidR="007131A6" w:rsidRPr="007131A6" w:rsidRDefault="007131A6" w:rsidP="007131A6">
      <w:pPr>
        <w:spacing w:line="200" w:lineRule="exact"/>
        <w:jc w:val="both"/>
        <w:rPr>
          <w:rFonts w:ascii="Calibri" w:eastAsia="Calibri" w:hAnsi="Calibri" w:cs="Calibri"/>
          <w:sz w:val="18"/>
        </w:rPr>
      </w:pPr>
    </w:p>
    <w:p w14:paraId="3A110FF5" w14:textId="77777777" w:rsidR="007131A6" w:rsidRPr="007131A6" w:rsidRDefault="007131A6" w:rsidP="007131A6">
      <w:pPr>
        <w:spacing w:line="200" w:lineRule="exact"/>
        <w:jc w:val="both"/>
        <w:rPr>
          <w:rFonts w:ascii="Calibri" w:eastAsia="Calibri" w:hAnsi="Calibri" w:cs="Calibri"/>
          <w:sz w:val="18"/>
        </w:rPr>
      </w:pPr>
      <w:proofErr w:type="spellStart"/>
      <w:r w:rsidRPr="007131A6">
        <w:rPr>
          <w:rFonts w:ascii="Calibri" w:eastAsia="Calibri" w:hAnsi="Calibri" w:cs="Calibri"/>
          <w:sz w:val="18"/>
        </w:rPr>
        <w:t>Mashael</w:t>
      </w:r>
      <w:proofErr w:type="spellEnd"/>
      <w:r w:rsidRPr="007131A6">
        <w:rPr>
          <w:rFonts w:ascii="Calibri" w:eastAsia="Calibri" w:hAnsi="Calibri" w:cs="Calibri"/>
          <w:sz w:val="18"/>
        </w:rPr>
        <w:t xml:space="preserve"> A. Alotaibi, Entissar </w:t>
      </w:r>
      <w:proofErr w:type="spellStart"/>
      <w:r w:rsidRPr="007131A6">
        <w:rPr>
          <w:rFonts w:ascii="Calibri" w:eastAsia="Calibri" w:hAnsi="Calibri" w:cs="Calibri"/>
          <w:sz w:val="18"/>
        </w:rPr>
        <w:t>Alsuhaibani</w:t>
      </w:r>
      <w:proofErr w:type="spellEnd"/>
      <w:r w:rsidRPr="007131A6">
        <w:rPr>
          <w:rFonts w:ascii="Calibri" w:eastAsia="Calibri" w:hAnsi="Calibri" w:cs="Calibri"/>
          <w:sz w:val="18"/>
        </w:rPr>
        <w:t xml:space="preserve"> and Ghazi A. </w:t>
      </w:r>
      <w:proofErr w:type="spellStart"/>
      <w:r w:rsidRPr="007131A6">
        <w:rPr>
          <w:rFonts w:ascii="Calibri" w:eastAsia="Calibri" w:hAnsi="Calibri" w:cs="Calibri"/>
          <w:sz w:val="18"/>
        </w:rPr>
        <w:t>Alsbeih</w:t>
      </w:r>
      <w:proofErr w:type="spellEnd"/>
      <w:r w:rsidRPr="007131A6">
        <w:rPr>
          <w:rFonts w:ascii="Calibri" w:eastAsia="Calibri" w:hAnsi="Calibri" w:cs="Calibri"/>
          <w:sz w:val="18"/>
        </w:rPr>
        <w:t xml:space="preserve"> (2018): Assessment of In vitro X-Ray Radiation Overexposure by Cytokinesis - Block Micronucleus Assay in Human Peripheral Blood Lymphocytes (HPBLs) in Saudi Population. Indian Journal of Natural Sciences, 9 (50): 14595-14603</w:t>
      </w:r>
    </w:p>
    <w:p w14:paraId="714D42A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4077BE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A2D4F55" wp14:editId="474953C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395D9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E27EE15" w14:textId="3D1590D7" w:rsidR="00AE3E37" w:rsidRDefault="008756E6" w:rsidP="00404E5B">
      <w:pPr>
        <w:spacing w:before="92"/>
        <w:ind w:right="4234"/>
        <w:rPr>
          <w:rFonts w:ascii="Arial"/>
        </w:rPr>
      </w:pPr>
      <w:r>
        <w:rPr>
          <w:noProof/>
        </w:rPr>
        <w:t xml:space="preserve">     </w:t>
      </w:r>
      <w:r w:rsidR="009349D2">
        <w:rPr>
          <w:noProof/>
        </w:rPr>
        <w:drawing>
          <wp:inline distT="0" distB="0" distL="0" distR="0" wp14:anchorId="6B9D0E7E" wp14:editId="72EA5DE7">
            <wp:extent cx="581025" cy="66934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523" cy="688352"/>
                    </a:xfrm>
                    <a:prstGeom prst="rect">
                      <a:avLst/>
                    </a:prstGeom>
                    <a:noFill/>
                    <a:ln>
                      <a:noFill/>
                    </a:ln>
                  </pic:spPr>
                </pic:pic>
              </a:graphicData>
            </a:graphic>
          </wp:inline>
        </w:drawing>
      </w:r>
      <w:r>
        <w:rPr>
          <w:noProof/>
        </w:rPr>
        <w:t xml:space="preserve">  </w:t>
      </w:r>
      <w:r w:rsidR="00A9710C">
        <w:rPr>
          <w:rFonts w:ascii="Arial"/>
          <w:color w:val="BF5A14"/>
        </w:rPr>
        <w:t>Biography</w:t>
      </w:r>
      <w:bookmarkStart w:id="0" w:name="_GoBack"/>
      <w:bookmarkEnd w:id="0"/>
    </w:p>
    <w:p w14:paraId="4CE56DD3" w14:textId="4D756AC4" w:rsidR="00AE3E37" w:rsidRDefault="009349D2" w:rsidP="009349D2">
      <w:pPr>
        <w:spacing w:before="41" w:line="154" w:lineRule="exact"/>
        <w:ind w:left="213" w:right="231"/>
        <w:jc w:val="both"/>
        <w:rPr>
          <w:rFonts w:ascii="Arial"/>
          <w:sz w:val="14"/>
        </w:rPr>
      </w:pPr>
      <w:r>
        <w:rPr>
          <w:rFonts w:ascii="Arial"/>
          <w:sz w:val="14"/>
        </w:rPr>
        <w:t xml:space="preserve">Dr. </w:t>
      </w:r>
      <w:r w:rsidR="007131A6" w:rsidRPr="007131A6">
        <w:rPr>
          <w:rFonts w:ascii="Arial"/>
          <w:sz w:val="14"/>
        </w:rPr>
        <w:t xml:space="preserve">Prof. </w:t>
      </w:r>
      <w:r w:rsidRPr="007131A6">
        <w:rPr>
          <w:rFonts w:ascii="Arial"/>
          <w:sz w:val="14"/>
        </w:rPr>
        <w:t>Entissar AlSuhaibani is Professor of</w:t>
      </w:r>
      <w:r w:rsidR="007131A6" w:rsidRPr="007131A6">
        <w:rPr>
          <w:rFonts w:ascii="Arial"/>
          <w:sz w:val="14"/>
        </w:rPr>
        <w:t xml:space="preserve"> Genetic at King Saud University. </w:t>
      </w:r>
      <w:r w:rsidRPr="007131A6">
        <w:rPr>
          <w:rFonts w:ascii="Arial"/>
          <w:sz w:val="14"/>
        </w:rPr>
        <w:t>Her research</w:t>
      </w:r>
      <w:r w:rsidR="007131A6" w:rsidRPr="007131A6">
        <w:rPr>
          <w:rFonts w:ascii="Arial"/>
          <w:sz w:val="14"/>
        </w:rPr>
        <w:t xml:space="preserve"> </w:t>
      </w:r>
      <w:r w:rsidRPr="007131A6">
        <w:rPr>
          <w:rFonts w:ascii="Arial"/>
          <w:sz w:val="14"/>
        </w:rPr>
        <w:t>interest is the</w:t>
      </w:r>
      <w:r w:rsidR="007131A6" w:rsidRPr="007131A6">
        <w:rPr>
          <w:rFonts w:ascii="Arial"/>
          <w:sz w:val="14"/>
        </w:rPr>
        <w:t xml:space="preserve"> cytogenetic effect of radiation.  She is involved in many research </w:t>
      </w:r>
      <w:r w:rsidRPr="007131A6">
        <w:rPr>
          <w:rFonts w:ascii="Arial"/>
          <w:sz w:val="14"/>
        </w:rPr>
        <w:t>projects founded by many</w:t>
      </w:r>
      <w:r w:rsidR="007131A6" w:rsidRPr="007131A6">
        <w:rPr>
          <w:rFonts w:ascii="Arial"/>
          <w:sz w:val="14"/>
        </w:rPr>
        <w:t xml:space="preserve"> research institutions. In 2010 she </w:t>
      </w:r>
      <w:r w:rsidRPr="007131A6">
        <w:rPr>
          <w:rFonts w:ascii="Arial"/>
          <w:sz w:val="14"/>
        </w:rPr>
        <w:t>was awarded</w:t>
      </w:r>
      <w:r w:rsidR="007131A6" w:rsidRPr="007131A6">
        <w:rPr>
          <w:rFonts w:ascii="Arial"/>
          <w:sz w:val="14"/>
        </w:rPr>
        <w:t xml:space="preserve"> as a Fellow for the 2010 </w:t>
      </w:r>
      <w:proofErr w:type="spellStart"/>
      <w:r w:rsidR="007131A6" w:rsidRPr="007131A6">
        <w:rPr>
          <w:rFonts w:ascii="Arial"/>
          <w:sz w:val="14"/>
        </w:rPr>
        <w:t>L'Oreal</w:t>
      </w:r>
      <w:proofErr w:type="spellEnd"/>
      <w:r w:rsidR="007131A6" w:rsidRPr="007131A6">
        <w:rPr>
          <w:rFonts w:ascii="Arial"/>
          <w:sz w:val="14"/>
        </w:rPr>
        <w:t xml:space="preserve"> UNESCO Pan Arab Regional </w:t>
      </w:r>
      <w:r w:rsidRPr="007131A6">
        <w:rPr>
          <w:rFonts w:ascii="Arial"/>
          <w:sz w:val="14"/>
        </w:rPr>
        <w:t>Fellowships. She</w:t>
      </w:r>
      <w:r w:rsidR="007131A6" w:rsidRPr="007131A6">
        <w:rPr>
          <w:rFonts w:ascii="Arial"/>
          <w:sz w:val="14"/>
        </w:rPr>
        <w:t xml:space="preserve"> presented   and </w:t>
      </w:r>
      <w:r w:rsidRPr="007131A6">
        <w:rPr>
          <w:rFonts w:ascii="Arial"/>
          <w:sz w:val="14"/>
        </w:rPr>
        <w:t>participated in</w:t>
      </w:r>
      <w:r w:rsidR="007131A6" w:rsidRPr="007131A6">
        <w:rPr>
          <w:rFonts w:ascii="Arial"/>
          <w:sz w:val="14"/>
        </w:rPr>
        <w:t xml:space="preserve"> the </w:t>
      </w:r>
      <w:r w:rsidRPr="007131A6">
        <w:rPr>
          <w:rFonts w:ascii="Arial"/>
          <w:sz w:val="14"/>
        </w:rPr>
        <w:t>various regional</w:t>
      </w:r>
      <w:r w:rsidR="007131A6" w:rsidRPr="007131A6">
        <w:rPr>
          <w:rFonts w:ascii="Arial"/>
          <w:sz w:val="14"/>
        </w:rPr>
        <w:t xml:space="preserve"> </w:t>
      </w:r>
      <w:r w:rsidRPr="007131A6">
        <w:rPr>
          <w:rFonts w:ascii="Arial"/>
          <w:sz w:val="14"/>
        </w:rPr>
        <w:t>and international</w:t>
      </w:r>
      <w:r w:rsidR="007131A6" w:rsidRPr="007131A6">
        <w:rPr>
          <w:rFonts w:ascii="Arial"/>
          <w:sz w:val="14"/>
        </w:rPr>
        <w:t xml:space="preserve"> scientific </w:t>
      </w:r>
      <w:r w:rsidRPr="007131A6">
        <w:rPr>
          <w:rFonts w:ascii="Arial"/>
          <w:sz w:val="14"/>
        </w:rPr>
        <w:t>conferences.</w:t>
      </w:r>
      <w:r w:rsidR="007131A6" w:rsidRPr="007131A6">
        <w:rPr>
          <w:rFonts w:ascii="Arial"/>
          <w:sz w:val="14"/>
        </w:rPr>
        <w:t xml:space="preserve"> AlSuhaibani received gold </w:t>
      </w:r>
      <w:r w:rsidRPr="007131A6">
        <w:rPr>
          <w:rFonts w:ascii="Arial"/>
          <w:sz w:val="14"/>
        </w:rPr>
        <w:t>and silver</w:t>
      </w:r>
      <w:r w:rsidR="007131A6" w:rsidRPr="007131A6">
        <w:rPr>
          <w:rFonts w:ascii="Arial"/>
          <w:sz w:val="14"/>
        </w:rPr>
        <w:t xml:space="preserve"> medals   from different international expiations for the patent of the Invention of the Sister Chromatid Exchange staining SCE staining. She involved in many community activities to encourage Saudi females to engage in science </w:t>
      </w:r>
      <w:r w:rsidRPr="007131A6">
        <w:rPr>
          <w:rFonts w:ascii="Arial"/>
          <w:sz w:val="14"/>
        </w:rPr>
        <w:t>field.</w:t>
      </w:r>
      <w:r w:rsidR="007131A6" w:rsidRPr="007131A6">
        <w:rPr>
          <w:rFonts w:ascii="Arial"/>
          <w:sz w:val="14"/>
        </w:rPr>
        <w:t xml:space="preserve"> Also, she is member of international and local </w:t>
      </w:r>
      <w:r w:rsidRPr="007131A6">
        <w:rPr>
          <w:rFonts w:ascii="Arial"/>
          <w:sz w:val="14"/>
        </w:rPr>
        <w:t>scientific societies</w:t>
      </w:r>
    </w:p>
    <w:p w14:paraId="18B31B76" w14:textId="54CBD2DA" w:rsidR="00AE3E37" w:rsidRDefault="00A9710C">
      <w:pPr>
        <w:spacing w:before="62"/>
        <w:ind w:left="4217" w:right="4235"/>
        <w:jc w:val="center"/>
        <w:rPr>
          <w:rFonts w:ascii="Arial"/>
          <w:sz w:val="14"/>
        </w:rPr>
      </w:pPr>
      <w:r>
        <w:rPr>
          <w:rFonts w:ascii="Arial"/>
          <w:sz w:val="14"/>
        </w:rPr>
        <w:t xml:space="preserve">Email: </w:t>
      </w:r>
      <w:hyperlink r:id="rId10" w:history="1">
        <w:r w:rsidR="009349D2" w:rsidRPr="001746D9">
          <w:rPr>
            <w:rStyle w:val="Hyperlink"/>
            <w:rFonts w:ascii="Arial"/>
            <w:sz w:val="14"/>
          </w:rPr>
          <w:t>ealsuhaibani@hotmail.com</w:t>
        </w:r>
      </w:hyperlink>
    </w:p>
    <w:p w14:paraId="2A312F3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8CD675E" wp14:editId="1B03415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BB5A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BEE5243" w14:textId="77777777" w:rsidR="00AE3E37" w:rsidRDefault="00AE3E37">
      <w:pPr>
        <w:pStyle w:val="BodyText"/>
        <w:rPr>
          <w:rFonts w:ascii="Arial"/>
          <w:sz w:val="20"/>
        </w:rPr>
      </w:pPr>
    </w:p>
    <w:p w14:paraId="40D6AE07" w14:textId="77777777" w:rsidR="00AE3E37" w:rsidRDefault="00AE3E37">
      <w:pPr>
        <w:pStyle w:val="BodyText"/>
        <w:rPr>
          <w:rFonts w:ascii="Arial"/>
          <w:sz w:val="20"/>
        </w:rPr>
      </w:pPr>
    </w:p>
    <w:p w14:paraId="06DF2CA5" w14:textId="77777777" w:rsidR="00AE3E37" w:rsidRDefault="00AE3E37">
      <w:pPr>
        <w:pStyle w:val="BodyText"/>
        <w:spacing w:before="7"/>
        <w:rPr>
          <w:rFonts w:ascii="Arial"/>
          <w:sz w:val="29"/>
        </w:rPr>
      </w:pPr>
    </w:p>
    <w:p w14:paraId="03C3F21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F2B558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2B138B" w14:textId="77777777" w:rsidR="00CF18EB" w:rsidRDefault="00CF18EB">
      <w:r>
        <w:separator/>
      </w:r>
    </w:p>
  </w:endnote>
  <w:endnote w:type="continuationSeparator" w:id="0">
    <w:p w14:paraId="795CCB74" w14:textId="77777777" w:rsidR="00CF18EB" w:rsidRDefault="00CF1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89E9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46A19FD" wp14:editId="4573BE1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FE7A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07C19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6A19F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11FE7A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07C19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44FBD77" wp14:editId="02243A8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DB0E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679F0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FBD7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EADB0E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679F0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E6EF2A" wp14:editId="3072041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81D1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A91832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6EF2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5481D1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A91832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80988" w14:textId="77777777" w:rsidR="00CF18EB" w:rsidRDefault="00CF18EB">
      <w:r>
        <w:separator/>
      </w:r>
    </w:p>
  </w:footnote>
  <w:footnote w:type="continuationSeparator" w:id="0">
    <w:p w14:paraId="60B12C33" w14:textId="77777777" w:rsidR="00CF18EB" w:rsidRDefault="00CF18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786D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B74B8B8" wp14:editId="57DF4CB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3AB1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74B8B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113AB1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C8E5CE0" wp14:editId="6C8DBBC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8B8F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DCB36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E5CE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8F8B8F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DCB36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84F61"/>
    <w:rsid w:val="003B76D9"/>
    <w:rsid w:val="00404E5B"/>
    <w:rsid w:val="00414F7B"/>
    <w:rsid w:val="004355DC"/>
    <w:rsid w:val="004749B4"/>
    <w:rsid w:val="00494130"/>
    <w:rsid w:val="004F3523"/>
    <w:rsid w:val="005973B9"/>
    <w:rsid w:val="005B3A56"/>
    <w:rsid w:val="006060CE"/>
    <w:rsid w:val="0063497F"/>
    <w:rsid w:val="007131A6"/>
    <w:rsid w:val="0078738A"/>
    <w:rsid w:val="00873DF0"/>
    <w:rsid w:val="008756E6"/>
    <w:rsid w:val="009349D2"/>
    <w:rsid w:val="009B2D44"/>
    <w:rsid w:val="00A07E82"/>
    <w:rsid w:val="00A9710C"/>
    <w:rsid w:val="00AE3E37"/>
    <w:rsid w:val="00B21A57"/>
    <w:rsid w:val="00C33602"/>
    <w:rsid w:val="00CD6F55"/>
    <w:rsid w:val="00CF18EB"/>
    <w:rsid w:val="00D62425"/>
    <w:rsid w:val="00DE3104"/>
    <w:rsid w:val="00F72EEA"/>
    <w:rsid w:val="00F8136A"/>
    <w:rsid w:val="00F84CAE"/>
    <w:rsid w:val="00FC032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AF154"/>
  <w15:docId w15:val="{40591FE4-28FD-488E-93ED-1B9831E7B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9349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alsuhaibani@hot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Entissar AlSuhaibani</cp:lastModifiedBy>
  <cp:revision>3</cp:revision>
  <dcterms:created xsi:type="dcterms:W3CDTF">2018-10-29T06:19:00Z</dcterms:created>
  <dcterms:modified xsi:type="dcterms:W3CDTF">2019-03-28T05:14:00Z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