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8904" w14:textId="77777777" w:rsidR="00E11F59" w:rsidRDefault="00000000">
      <w:pPr>
        <w:pStyle w:val="Heading1"/>
        <w:widowControl/>
        <w:shd w:val="clear" w:color="auto" w:fill="0070A8"/>
        <w:spacing w:before="160" w:after="160" w:line="12" w:lineRule="atLeast"/>
        <w:ind w:left="0"/>
        <w:rPr>
          <w:rFonts w:ascii="Helvetica" w:eastAsia="Helvetica" w:hAnsi="Helvetica" w:cs="Helvetica"/>
          <w:color w:val="FFFFFF"/>
        </w:rPr>
      </w:pPr>
      <w:r>
        <w:rPr>
          <w:rFonts w:ascii="Helvetica" w:eastAsia="Helvetica" w:hAnsi="Helvetica" w:cs="Helvetica"/>
          <w:color w:val="FFFFFF"/>
          <w:shd w:val="clear" w:color="auto" w:fill="0070A8"/>
        </w:rPr>
        <w:t xml:space="preserve">Association of circle of </w:t>
      </w:r>
      <w:proofErr w:type="spellStart"/>
      <w:r>
        <w:rPr>
          <w:rFonts w:ascii="Helvetica" w:eastAsia="Helvetica" w:hAnsi="Helvetica" w:cs="Helvetica"/>
          <w:color w:val="FFFFFF"/>
          <w:shd w:val="clear" w:color="auto" w:fill="0070A8"/>
        </w:rPr>
        <w:t>willis</w:t>
      </w:r>
      <w:proofErr w:type="spellEnd"/>
      <w:r>
        <w:rPr>
          <w:rFonts w:ascii="Helvetica" w:eastAsia="Helvetica" w:hAnsi="Helvetica" w:cs="Helvetica"/>
          <w:color w:val="FFFFFF"/>
          <w:shd w:val="clear" w:color="auto" w:fill="0070A8"/>
        </w:rPr>
        <w:t xml:space="preserve"> variants with stroke and aneurysm: insights from a tertiary hospital in Ethiopia</w:t>
      </w:r>
    </w:p>
    <w:p w14:paraId="0E593E71" w14:textId="4F2F66A8" w:rsidR="00E11F59" w:rsidRDefault="00000000" w:rsidP="00507412">
      <w:pPr>
        <w:pStyle w:val="BodyText"/>
        <w:spacing w:before="73" w:line="198" w:lineRule="exact"/>
        <w:ind w:right="5987"/>
        <w:rPr>
          <w:rFonts w:ascii="Arial"/>
        </w:rPr>
      </w:pPr>
      <w:r>
        <w:rPr>
          <w:rFonts w:ascii="Arial"/>
        </w:rPr>
        <w:t>Dr Molla Asnake</w:t>
      </w:r>
      <w:r w:rsidR="00090E6E">
        <w:rPr>
          <w:rFonts w:ascii="Arial"/>
        </w:rPr>
        <w:t xml:space="preserve"> </w:t>
      </w:r>
      <w:r>
        <w:rPr>
          <w:rFonts w:ascii="Arial"/>
        </w:rPr>
        <w:t>(MD, ECFMG certified, Ass. professor)</w:t>
      </w:r>
    </w:p>
    <w:p w14:paraId="10BD1C51" w14:textId="77777777" w:rsidR="00E11F59" w:rsidRDefault="00E11F59">
      <w:pPr>
        <w:pStyle w:val="BodyText"/>
        <w:rPr>
          <w:rFonts w:ascii="Arial"/>
          <w:sz w:val="20"/>
        </w:rPr>
      </w:pPr>
    </w:p>
    <w:p w14:paraId="4A289DB1" w14:textId="3CD251A8" w:rsidR="00E11F59" w:rsidRDefault="00507412">
      <w:pPr>
        <w:rPr>
          <w:rFonts w:ascii="Arial"/>
          <w:sz w:val="21"/>
        </w:rPr>
        <w:sectPr w:rsidR="00E11F59">
          <w:headerReference w:type="default" r:id="rId8"/>
          <w:footerReference w:type="default" r:id="rId9"/>
          <w:type w:val="continuous"/>
          <w:pgSz w:w="11910" w:h="16840"/>
          <w:pgMar w:top="1740" w:right="600" w:bottom="840" w:left="620" w:header="541" w:footer="642" w:gutter="0"/>
          <w:cols w:space="720"/>
        </w:sectPr>
      </w:pPr>
      <w:r>
        <w:rPr>
          <w:rFonts w:ascii="Arial"/>
          <w:sz w:val="21"/>
        </w:rPr>
        <w:t xml:space="preserve">Correspondent </w:t>
      </w:r>
      <w:r w:rsidR="00A67FC7">
        <w:rPr>
          <w:rFonts w:ascii="Arial"/>
          <w:sz w:val="21"/>
        </w:rPr>
        <w:t>author</w:t>
      </w:r>
    </w:p>
    <w:p w14:paraId="13366D30" w14:textId="6B937E22" w:rsidR="00E11F59" w:rsidRDefault="00000000">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2A0794C5" w14:textId="77777777" w:rsidR="00E11F59" w:rsidRDefault="00000000">
      <w:pPr>
        <w:pStyle w:val="NormalWeb"/>
        <w:shd w:val="clear" w:color="auto" w:fill="FFFFFF"/>
        <w:spacing w:beforeAutospacing="0" w:after="320" w:afterAutospacing="0"/>
        <w:jc w:val="both"/>
        <w:rPr>
          <w:rFonts w:ascii="serif" w:eastAsia="serif" w:hAnsi="serif" w:cs="serif"/>
          <w:color w:val="222222"/>
          <w:sz w:val="18"/>
          <w:szCs w:val="18"/>
        </w:rPr>
      </w:pPr>
      <w:r>
        <w:rPr>
          <w:rFonts w:ascii="serif" w:eastAsia="serif" w:hAnsi="serif" w:cs="serif"/>
          <w:color w:val="222222"/>
          <w:sz w:val="18"/>
          <w:szCs w:val="18"/>
          <w:shd w:val="clear" w:color="auto" w:fill="FFFFFF"/>
        </w:rPr>
        <w:t xml:space="preserve">Anatomical variations within the </w:t>
      </w:r>
      <w:proofErr w:type="spellStart"/>
      <w:r>
        <w:rPr>
          <w:rFonts w:ascii="serif" w:eastAsia="serif" w:hAnsi="serif" w:cs="serif"/>
          <w:color w:val="222222"/>
          <w:sz w:val="18"/>
          <w:szCs w:val="18"/>
          <w:shd w:val="clear" w:color="auto" w:fill="FFFFFF"/>
        </w:rPr>
        <w:t>CoW</w:t>
      </w:r>
      <w:proofErr w:type="spellEnd"/>
      <w:r>
        <w:rPr>
          <w:rFonts w:ascii="serif" w:eastAsia="serif" w:hAnsi="serif" w:cs="serif"/>
          <w:color w:val="222222"/>
          <w:sz w:val="18"/>
          <w:szCs w:val="18"/>
          <w:shd w:val="clear" w:color="auto" w:fill="FFFFFF"/>
        </w:rPr>
        <w:t xml:space="preserve"> are prevalent and can have significant clinical implications, particularly concerning strokes, aneurysms and other cerebrovascular disorders. This study aimed to assess the anatomical variations of the </w:t>
      </w:r>
      <w:proofErr w:type="spellStart"/>
      <w:r>
        <w:rPr>
          <w:rFonts w:ascii="serif" w:eastAsia="serif" w:hAnsi="serif" w:cs="serif"/>
          <w:color w:val="222222"/>
          <w:sz w:val="18"/>
          <w:szCs w:val="18"/>
          <w:shd w:val="clear" w:color="auto" w:fill="FFFFFF"/>
        </w:rPr>
        <w:t>CoW</w:t>
      </w:r>
      <w:proofErr w:type="spellEnd"/>
      <w:r>
        <w:rPr>
          <w:rFonts w:ascii="serif" w:eastAsia="serif" w:hAnsi="serif" w:cs="serif"/>
          <w:color w:val="222222"/>
          <w:sz w:val="18"/>
          <w:szCs w:val="18"/>
          <w:shd w:val="clear" w:color="auto" w:fill="FFFFFF"/>
        </w:rPr>
        <w:t xml:space="preserve"> in the Ethiopian population presenting with neurological symptoms and to explore the factors associated with these variations. A facility-based cross-sectional study was conducted among adult patients undergone brain CT angiography at St. Paul’s Hospital Millennium Medical College. A simple random sampling technique was employed to select participants. Multivariate binary logistic regression analyses were performed to determine relationships between dependent and independent variables. Statistical significance was assessed with a </w:t>
      </w:r>
      <w:r>
        <w:rPr>
          <w:rFonts w:ascii="serif" w:eastAsia="serif" w:hAnsi="serif" w:cs="serif"/>
          <w:i/>
          <w:iCs/>
          <w:color w:val="222222"/>
          <w:sz w:val="18"/>
          <w:szCs w:val="18"/>
          <w:shd w:val="clear" w:color="auto" w:fill="FFFFFF"/>
        </w:rPr>
        <w:t>p</w:t>
      </w:r>
      <w:r>
        <w:rPr>
          <w:rFonts w:ascii="serif" w:eastAsia="serif" w:hAnsi="serif" w:cs="serif"/>
          <w:color w:val="222222"/>
          <w:sz w:val="18"/>
          <w:szCs w:val="18"/>
          <w:shd w:val="clear" w:color="auto" w:fill="FFFFFF"/>
        </w:rPr>
        <w:t>-value &lt; 0.05. This study of 86 participants (</w:t>
      </w:r>
      <w:proofErr w:type="gramStart"/>
      <w:r>
        <w:rPr>
          <w:rFonts w:ascii="serif" w:eastAsia="serif" w:hAnsi="serif" w:cs="serif"/>
          <w:color w:val="222222"/>
          <w:sz w:val="18"/>
          <w:szCs w:val="18"/>
          <w:shd w:val="clear" w:color="auto" w:fill="FFFFFF"/>
        </w:rPr>
        <w:t>mean</w:t>
      </w:r>
      <w:proofErr w:type="gramEnd"/>
      <w:r>
        <w:rPr>
          <w:rFonts w:ascii="serif" w:eastAsia="serif" w:hAnsi="serif" w:cs="serif"/>
          <w:color w:val="222222"/>
          <w:sz w:val="18"/>
          <w:szCs w:val="18"/>
          <w:shd w:val="clear" w:color="auto" w:fill="FFFFFF"/>
        </w:rPr>
        <w:t xml:space="preserve"> age 48.3 years) found that 56 (65.12%) had a complete </w:t>
      </w:r>
      <w:proofErr w:type="spellStart"/>
      <w:r>
        <w:rPr>
          <w:rFonts w:ascii="serif" w:eastAsia="serif" w:hAnsi="serif" w:cs="serif"/>
          <w:color w:val="222222"/>
          <w:sz w:val="18"/>
          <w:szCs w:val="18"/>
          <w:shd w:val="clear" w:color="auto" w:fill="FFFFFF"/>
        </w:rPr>
        <w:t>CoW</w:t>
      </w:r>
      <w:proofErr w:type="spellEnd"/>
      <w:r>
        <w:rPr>
          <w:rFonts w:ascii="serif" w:eastAsia="serif" w:hAnsi="serif" w:cs="serif"/>
          <w:color w:val="222222"/>
          <w:sz w:val="18"/>
          <w:szCs w:val="18"/>
          <w:shd w:val="clear" w:color="auto" w:fill="FFFFFF"/>
        </w:rPr>
        <w:t xml:space="preserve">. Incomplete </w:t>
      </w:r>
      <w:proofErr w:type="spellStart"/>
      <w:r>
        <w:rPr>
          <w:rFonts w:ascii="serif" w:eastAsia="serif" w:hAnsi="serif" w:cs="serif"/>
          <w:color w:val="222222"/>
          <w:sz w:val="18"/>
          <w:szCs w:val="18"/>
          <w:shd w:val="clear" w:color="auto" w:fill="FFFFFF"/>
        </w:rPr>
        <w:t>CoW</w:t>
      </w:r>
      <w:proofErr w:type="spellEnd"/>
      <w:r>
        <w:rPr>
          <w:rFonts w:ascii="serif" w:eastAsia="serif" w:hAnsi="serif" w:cs="serif"/>
          <w:color w:val="222222"/>
          <w:sz w:val="18"/>
          <w:szCs w:val="18"/>
          <w:shd w:val="clear" w:color="auto" w:fill="FFFFFF"/>
        </w:rPr>
        <w:t xml:space="preserve"> was more common in females (OR = 3.5, </w:t>
      </w:r>
      <w:r>
        <w:rPr>
          <w:rFonts w:ascii="serif" w:eastAsia="serif" w:hAnsi="serif" w:cs="serif"/>
          <w:i/>
          <w:iCs/>
          <w:color w:val="222222"/>
          <w:sz w:val="18"/>
          <w:szCs w:val="18"/>
          <w:shd w:val="clear" w:color="auto" w:fill="FFFFFF"/>
        </w:rPr>
        <w:t>p</w:t>
      </w:r>
      <w:r>
        <w:rPr>
          <w:rFonts w:ascii="serif" w:eastAsia="serif" w:hAnsi="serif" w:cs="serif"/>
          <w:color w:val="222222"/>
          <w:sz w:val="18"/>
          <w:szCs w:val="18"/>
          <w:shd w:val="clear" w:color="auto" w:fill="FFFFFF"/>
        </w:rPr>
        <w:t> = 0.007) and was significantly associated with stroke (OR = 15.4, </w:t>
      </w:r>
      <w:r>
        <w:rPr>
          <w:rFonts w:ascii="serif" w:eastAsia="serif" w:hAnsi="serif" w:cs="serif"/>
          <w:i/>
          <w:iCs/>
          <w:color w:val="222222"/>
          <w:sz w:val="18"/>
          <w:szCs w:val="18"/>
          <w:shd w:val="clear" w:color="auto" w:fill="FFFFFF"/>
        </w:rPr>
        <w:t>p</w:t>
      </w:r>
      <w:r>
        <w:rPr>
          <w:rFonts w:ascii="serif" w:eastAsia="serif" w:hAnsi="serif" w:cs="serif"/>
          <w:color w:val="222222"/>
          <w:sz w:val="18"/>
          <w:szCs w:val="18"/>
          <w:shd w:val="clear" w:color="auto" w:fill="FFFFFF"/>
        </w:rPr>
        <w:t xml:space="preserve"> &lt; 0.001). Aneurysms had a higher but non-significant association with incomplete </w:t>
      </w:r>
      <w:proofErr w:type="spellStart"/>
      <w:r>
        <w:rPr>
          <w:rFonts w:ascii="serif" w:eastAsia="serif" w:hAnsi="serif" w:cs="serif"/>
          <w:color w:val="222222"/>
          <w:sz w:val="18"/>
          <w:szCs w:val="18"/>
          <w:shd w:val="clear" w:color="auto" w:fill="FFFFFF"/>
        </w:rPr>
        <w:t>CoW</w:t>
      </w:r>
      <w:proofErr w:type="spellEnd"/>
      <w:r>
        <w:rPr>
          <w:rFonts w:ascii="serif" w:eastAsia="serif" w:hAnsi="serif" w:cs="serif"/>
          <w:color w:val="222222"/>
          <w:sz w:val="18"/>
          <w:szCs w:val="18"/>
          <w:shd w:val="clear" w:color="auto" w:fill="FFFFFF"/>
        </w:rPr>
        <w:t xml:space="preserve"> (OR = 3.2, </w:t>
      </w:r>
      <w:r>
        <w:rPr>
          <w:rFonts w:ascii="serif" w:eastAsia="serif" w:hAnsi="serif" w:cs="serif"/>
          <w:i/>
          <w:iCs/>
          <w:color w:val="222222"/>
          <w:sz w:val="18"/>
          <w:szCs w:val="18"/>
          <w:shd w:val="clear" w:color="auto" w:fill="FFFFFF"/>
        </w:rPr>
        <w:t>p</w:t>
      </w:r>
      <w:r>
        <w:rPr>
          <w:rFonts w:ascii="serif" w:eastAsia="serif" w:hAnsi="serif" w:cs="serif"/>
          <w:color w:val="222222"/>
          <w:sz w:val="18"/>
          <w:szCs w:val="18"/>
          <w:shd w:val="clear" w:color="auto" w:fill="FFFFFF"/>
        </w:rPr>
        <w:t xml:space="preserve"> = 0.14). Hypoplastic arteries were present in 30% of participants. Hypoplastic arteries are more frequently observed in the posterior portion of the </w:t>
      </w:r>
      <w:proofErr w:type="spellStart"/>
      <w:r>
        <w:rPr>
          <w:rFonts w:ascii="serif" w:eastAsia="serif" w:hAnsi="serif" w:cs="serif"/>
          <w:color w:val="222222"/>
          <w:sz w:val="18"/>
          <w:szCs w:val="18"/>
          <w:shd w:val="clear" w:color="auto" w:fill="FFFFFF"/>
        </w:rPr>
        <w:t>CoW</w:t>
      </w:r>
      <w:proofErr w:type="spellEnd"/>
      <w:r>
        <w:rPr>
          <w:rFonts w:ascii="serif" w:eastAsia="serif" w:hAnsi="serif" w:cs="serif"/>
          <w:color w:val="222222"/>
          <w:sz w:val="18"/>
          <w:szCs w:val="18"/>
          <w:shd w:val="clear" w:color="auto" w:fill="FFFFFF"/>
        </w:rPr>
        <w:t xml:space="preserve"> than in the anterior portion. Most importantly, the incompleteness of the </w:t>
      </w:r>
      <w:proofErr w:type="spellStart"/>
      <w:r>
        <w:rPr>
          <w:rFonts w:ascii="serif" w:eastAsia="serif" w:hAnsi="serif" w:cs="serif"/>
          <w:color w:val="222222"/>
          <w:sz w:val="18"/>
          <w:szCs w:val="18"/>
          <w:shd w:val="clear" w:color="auto" w:fill="FFFFFF"/>
        </w:rPr>
        <w:t>CoW</w:t>
      </w:r>
      <w:proofErr w:type="spellEnd"/>
      <w:r>
        <w:rPr>
          <w:rFonts w:ascii="serif" w:eastAsia="serif" w:hAnsi="serif" w:cs="serif"/>
          <w:color w:val="222222"/>
          <w:sz w:val="18"/>
          <w:szCs w:val="18"/>
          <w:shd w:val="clear" w:color="auto" w:fill="FFFFFF"/>
        </w:rPr>
        <w:t xml:space="preserve"> is significantly associated with female sex and stroke.</w:t>
      </w:r>
    </w:p>
    <w:p w14:paraId="7FE3043B" w14:textId="77777777" w:rsidR="00E11F59" w:rsidRDefault="00000000">
      <w:pPr>
        <w:pStyle w:val="Heading3"/>
        <w:spacing w:before="74"/>
      </w:pPr>
      <w:r>
        <w:rPr>
          <w:b w:val="0"/>
        </w:rPr>
        <w:br w:type="column"/>
      </w:r>
      <w:r>
        <w:rPr>
          <w:color w:val="BF5A14"/>
        </w:rPr>
        <w:t>Image</w:t>
      </w:r>
    </w:p>
    <w:p w14:paraId="43265441" w14:textId="72DEC2B4" w:rsidR="00E11F59" w:rsidRDefault="00D50AAB">
      <w:pPr>
        <w:pStyle w:val="BodyText"/>
        <w:spacing w:before="2"/>
        <w:rPr>
          <w:rFonts w:ascii="Arial"/>
          <w:b/>
          <w:sz w:val="16"/>
        </w:rPr>
      </w:pPr>
      <w:r w:rsidRPr="00D50AAB">
        <w:rPr>
          <w:noProof/>
          <w:lang w:val="en-IN" w:eastAsia="en-IN"/>
        </w:rPr>
        <w:drawing>
          <wp:inline distT="0" distB="0" distL="0" distR="0" wp14:anchorId="4E455BF2" wp14:editId="58D80904">
            <wp:extent cx="3165475" cy="2352675"/>
            <wp:effectExtent l="0" t="0" r="0" b="9525"/>
            <wp:docPr id="245936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36625" name=""/>
                    <pic:cNvPicPr/>
                  </pic:nvPicPr>
                  <pic:blipFill>
                    <a:blip r:embed="rId10"/>
                    <a:stretch>
                      <a:fillRect/>
                    </a:stretch>
                  </pic:blipFill>
                  <pic:spPr>
                    <a:xfrm>
                      <a:off x="0" y="0"/>
                      <a:ext cx="3165475" cy="2352675"/>
                    </a:xfrm>
                    <a:prstGeom prst="rect">
                      <a:avLst/>
                    </a:prstGeom>
                  </pic:spPr>
                </pic:pic>
              </a:graphicData>
            </a:graphic>
          </wp:inline>
        </w:drawing>
      </w:r>
    </w:p>
    <w:p w14:paraId="307B0F2A" w14:textId="77777777" w:rsidR="00E11F59" w:rsidRDefault="00000000">
      <w:pPr>
        <w:spacing w:line="204" w:lineRule="exact"/>
        <w:rPr>
          <w:rFonts w:ascii="Arial"/>
          <w:b/>
          <w:sz w:val="20"/>
        </w:rPr>
      </w:pPr>
      <w:r>
        <w:rPr>
          <w:rFonts w:ascii="Arial"/>
          <w:b/>
          <w:color w:val="BF5A14"/>
          <w:sz w:val="20"/>
        </w:rPr>
        <w:br/>
        <w:t>Recent Publications (minimum 5)</w:t>
      </w:r>
    </w:p>
    <w:p w14:paraId="6E1B8DAE" w14:textId="31208C66" w:rsidR="005F3A9A" w:rsidRPr="005F3A9A" w:rsidRDefault="005F3A9A" w:rsidP="005F3A9A">
      <w:pPr>
        <w:pStyle w:val="ListParagraph"/>
        <w:numPr>
          <w:ilvl w:val="0"/>
          <w:numId w:val="1"/>
        </w:numPr>
        <w:tabs>
          <w:tab w:val="left" w:pos="384"/>
        </w:tabs>
        <w:spacing w:line="240" w:lineRule="auto"/>
        <w:ind w:right="137" w:hanging="283"/>
        <w:rPr>
          <w:sz w:val="16"/>
          <w:szCs w:val="16"/>
        </w:rPr>
      </w:pPr>
      <w:r w:rsidRPr="005F3A9A">
        <w:rPr>
          <w:sz w:val="16"/>
          <w:szCs w:val="16"/>
        </w:rPr>
        <w:t xml:space="preserve">Ismail SA, Kebede MA, </w:t>
      </w:r>
      <w:proofErr w:type="spellStart"/>
      <w:r w:rsidRPr="005F3A9A">
        <w:rPr>
          <w:sz w:val="16"/>
          <w:szCs w:val="16"/>
        </w:rPr>
        <w:t>Wondafrash</w:t>
      </w:r>
      <w:proofErr w:type="spellEnd"/>
      <w:r w:rsidRPr="005F3A9A">
        <w:rPr>
          <w:sz w:val="16"/>
          <w:szCs w:val="16"/>
        </w:rPr>
        <w:t xml:space="preserve"> G, </w:t>
      </w:r>
      <w:proofErr w:type="spellStart"/>
      <w:r w:rsidRPr="005F3A9A">
        <w:rPr>
          <w:sz w:val="16"/>
          <w:szCs w:val="16"/>
        </w:rPr>
        <w:t>Ambachew</w:t>
      </w:r>
      <w:proofErr w:type="spellEnd"/>
      <w:r w:rsidRPr="005F3A9A">
        <w:rPr>
          <w:sz w:val="16"/>
          <w:szCs w:val="16"/>
        </w:rPr>
        <w:t xml:space="preserve"> R, Abdi RA, Ahmed ET, Belete MW, Eshetu MA, Yesuf SA. Impact of optimal anti-</w:t>
      </w:r>
      <w:proofErr w:type="spellStart"/>
      <w:r w:rsidRPr="005F3A9A">
        <w:rPr>
          <w:sz w:val="16"/>
          <w:szCs w:val="16"/>
        </w:rPr>
        <w:t>proteinuric</w:t>
      </w:r>
      <w:proofErr w:type="spellEnd"/>
      <w:r w:rsidRPr="005F3A9A">
        <w:rPr>
          <w:sz w:val="16"/>
          <w:szCs w:val="16"/>
        </w:rPr>
        <w:t xml:space="preserve"> therapy on the prevention of diabetic kidney disease progression. 15(1):25791. </w:t>
      </w:r>
    </w:p>
    <w:p w14:paraId="3283C7D8" w14:textId="1250AC7D" w:rsidR="005F3A9A" w:rsidRPr="005F3A9A" w:rsidRDefault="005F3A9A" w:rsidP="005F3A9A">
      <w:pPr>
        <w:pStyle w:val="ListParagraph"/>
        <w:numPr>
          <w:ilvl w:val="0"/>
          <w:numId w:val="1"/>
        </w:numPr>
        <w:tabs>
          <w:tab w:val="left" w:pos="384"/>
        </w:tabs>
        <w:spacing w:line="240" w:lineRule="auto"/>
        <w:ind w:right="138" w:hanging="283"/>
        <w:rPr>
          <w:sz w:val="16"/>
          <w:szCs w:val="16"/>
        </w:rPr>
      </w:pPr>
      <w:r w:rsidRPr="005F3A9A">
        <w:rPr>
          <w:sz w:val="16"/>
          <w:szCs w:val="16"/>
        </w:rPr>
        <w:t xml:space="preserve">Numaro YT, Kebede MA, Mariam SN, Abebe NS, </w:t>
      </w:r>
      <w:proofErr w:type="spellStart"/>
      <w:r w:rsidRPr="005F3A9A">
        <w:rPr>
          <w:sz w:val="16"/>
          <w:szCs w:val="16"/>
        </w:rPr>
        <w:t>Gossaye</w:t>
      </w:r>
      <w:proofErr w:type="spellEnd"/>
      <w:r w:rsidRPr="005F3A9A">
        <w:rPr>
          <w:sz w:val="16"/>
          <w:szCs w:val="16"/>
        </w:rPr>
        <w:t xml:space="preserve"> BT, </w:t>
      </w:r>
      <w:proofErr w:type="spellStart"/>
      <w:r w:rsidRPr="005F3A9A">
        <w:rPr>
          <w:sz w:val="16"/>
          <w:szCs w:val="16"/>
        </w:rPr>
        <w:t>Shenga</w:t>
      </w:r>
      <w:proofErr w:type="spellEnd"/>
      <w:r w:rsidRPr="005F3A9A">
        <w:rPr>
          <w:sz w:val="16"/>
          <w:szCs w:val="16"/>
        </w:rPr>
        <w:t xml:space="preserve"> SD, Addi HA, Melak MM, </w:t>
      </w:r>
      <w:proofErr w:type="spellStart"/>
      <w:r w:rsidRPr="005F3A9A">
        <w:rPr>
          <w:sz w:val="16"/>
          <w:szCs w:val="16"/>
        </w:rPr>
        <w:t>Abadiga</w:t>
      </w:r>
      <w:proofErr w:type="spellEnd"/>
      <w:r w:rsidRPr="005F3A9A">
        <w:rPr>
          <w:sz w:val="16"/>
          <w:szCs w:val="16"/>
        </w:rPr>
        <w:t xml:space="preserve"> TA, Kassa HB. Clinical anastomosis leakage and determinant factors among patients who underwent intestinal anastomosis in two Ethiopian tertiary hospitals.25(1):610. </w:t>
      </w:r>
    </w:p>
    <w:p w14:paraId="4A32298B" w14:textId="1431F0CC" w:rsidR="005F3A9A" w:rsidRDefault="005F3A9A" w:rsidP="005F3A9A">
      <w:pPr>
        <w:pStyle w:val="ListParagraph"/>
        <w:numPr>
          <w:ilvl w:val="0"/>
          <w:numId w:val="1"/>
        </w:numPr>
        <w:tabs>
          <w:tab w:val="left" w:pos="384"/>
        </w:tabs>
        <w:spacing w:before="92" w:line="240" w:lineRule="auto"/>
        <w:ind w:hanging="283"/>
        <w:rPr>
          <w:sz w:val="16"/>
          <w:szCs w:val="16"/>
        </w:rPr>
      </w:pPr>
      <w:r w:rsidRPr="005F3A9A">
        <w:rPr>
          <w:sz w:val="16"/>
          <w:szCs w:val="16"/>
        </w:rPr>
        <w:t xml:space="preserve">Worku AB, </w:t>
      </w:r>
      <w:r w:rsidRPr="005F3A9A">
        <w:rPr>
          <w:b/>
          <w:bCs/>
          <w:sz w:val="16"/>
          <w:szCs w:val="16"/>
        </w:rPr>
        <w:t>Kebede MA,</w:t>
      </w:r>
      <w:r w:rsidRPr="005F3A9A">
        <w:rPr>
          <w:sz w:val="16"/>
          <w:szCs w:val="16"/>
        </w:rPr>
        <w:t xml:space="preserve"> Abate AD, </w:t>
      </w:r>
      <w:proofErr w:type="spellStart"/>
      <w:r w:rsidRPr="005F3A9A">
        <w:rPr>
          <w:sz w:val="16"/>
          <w:szCs w:val="16"/>
        </w:rPr>
        <w:t>Admassie</w:t>
      </w:r>
      <w:proofErr w:type="spellEnd"/>
      <w:r w:rsidRPr="005F3A9A">
        <w:rPr>
          <w:sz w:val="16"/>
          <w:szCs w:val="16"/>
        </w:rPr>
        <w:t xml:space="preserve"> SH, Girma M, Zewde BW, Dessie M, </w:t>
      </w:r>
      <w:proofErr w:type="spellStart"/>
      <w:r w:rsidRPr="005F3A9A">
        <w:rPr>
          <w:sz w:val="16"/>
          <w:szCs w:val="16"/>
        </w:rPr>
        <w:t>Negatie</w:t>
      </w:r>
      <w:proofErr w:type="spellEnd"/>
      <w:r w:rsidRPr="005F3A9A">
        <w:rPr>
          <w:sz w:val="16"/>
          <w:szCs w:val="16"/>
        </w:rPr>
        <w:t xml:space="preserve"> HM, Techane AG, </w:t>
      </w:r>
      <w:proofErr w:type="spellStart"/>
      <w:r w:rsidRPr="005F3A9A">
        <w:rPr>
          <w:sz w:val="16"/>
          <w:szCs w:val="16"/>
        </w:rPr>
        <w:t>Wudineh</w:t>
      </w:r>
      <w:proofErr w:type="spellEnd"/>
      <w:r w:rsidRPr="005F3A9A">
        <w:rPr>
          <w:sz w:val="16"/>
          <w:szCs w:val="16"/>
        </w:rPr>
        <w:t xml:space="preserve"> AA. Clinical outcomes and management of tibial plateau fractures in Ethiopia: 20(5</w:t>
      </w:r>
      <w:proofErr w:type="gramStart"/>
      <w:r w:rsidRPr="005F3A9A">
        <w:rPr>
          <w:sz w:val="16"/>
          <w:szCs w:val="16"/>
        </w:rPr>
        <w:t>):e</w:t>
      </w:r>
      <w:proofErr w:type="gramEnd"/>
      <w:r w:rsidRPr="005F3A9A">
        <w:rPr>
          <w:sz w:val="16"/>
          <w:szCs w:val="16"/>
        </w:rPr>
        <w:t xml:space="preserve">0323956. </w:t>
      </w:r>
    </w:p>
    <w:p w14:paraId="4B4E1A73" w14:textId="77777777" w:rsidR="005F3A9A" w:rsidRDefault="005F3A9A" w:rsidP="005F3A9A">
      <w:pPr>
        <w:pStyle w:val="ListParagraph"/>
        <w:numPr>
          <w:ilvl w:val="0"/>
          <w:numId w:val="1"/>
        </w:numPr>
        <w:tabs>
          <w:tab w:val="left" w:pos="384"/>
        </w:tabs>
        <w:spacing w:before="92" w:line="240" w:lineRule="auto"/>
        <w:ind w:hanging="283"/>
        <w:rPr>
          <w:sz w:val="16"/>
          <w:szCs w:val="16"/>
        </w:rPr>
      </w:pPr>
      <w:proofErr w:type="spellStart"/>
      <w:r w:rsidRPr="005F3A9A">
        <w:rPr>
          <w:sz w:val="16"/>
          <w:szCs w:val="16"/>
        </w:rPr>
        <w:t>Zigale</w:t>
      </w:r>
      <w:proofErr w:type="spellEnd"/>
      <w:r w:rsidRPr="005F3A9A">
        <w:rPr>
          <w:sz w:val="16"/>
          <w:szCs w:val="16"/>
        </w:rPr>
        <w:t xml:space="preserve"> TA, Tekle AB, Kebede MA, Berhanu MT, Jemal A, </w:t>
      </w:r>
      <w:proofErr w:type="spellStart"/>
      <w:r w:rsidRPr="005F3A9A">
        <w:rPr>
          <w:sz w:val="16"/>
          <w:szCs w:val="16"/>
        </w:rPr>
        <w:t>Akloge</w:t>
      </w:r>
      <w:proofErr w:type="spellEnd"/>
      <w:r w:rsidRPr="005F3A9A">
        <w:rPr>
          <w:sz w:val="16"/>
          <w:szCs w:val="16"/>
        </w:rPr>
        <w:t xml:space="preserve"> E. Predictors of immediate survival in Emergency Department cardiac arrest in Ethiopia: Insights from a resource-limited setting. African Journal of Emergency Medicine. September 2025; 15(4):100906</w:t>
      </w:r>
    </w:p>
    <w:p w14:paraId="49A4F5E4" w14:textId="38BD2556" w:rsidR="005F3A9A" w:rsidRPr="005F3A9A" w:rsidRDefault="005F3A9A" w:rsidP="005F3A9A">
      <w:pPr>
        <w:pStyle w:val="ListParagraph"/>
        <w:numPr>
          <w:ilvl w:val="0"/>
          <w:numId w:val="1"/>
        </w:numPr>
        <w:tabs>
          <w:tab w:val="left" w:pos="384"/>
        </w:tabs>
        <w:spacing w:before="92" w:line="240" w:lineRule="auto"/>
        <w:ind w:hanging="283"/>
        <w:rPr>
          <w:sz w:val="16"/>
          <w:szCs w:val="16"/>
        </w:rPr>
      </w:pPr>
      <w:r w:rsidRPr="005F3A9A">
        <w:rPr>
          <w:sz w:val="16"/>
          <w:szCs w:val="16"/>
        </w:rPr>
        <w:t xml:space="preserve">Kebede MA Tekle AB Eshetu MA </w:t>
      </w:r>
      <w:proofErr w:type="spellStart"/>
      <w:r w:rsidRPr="005F3A9A">
        <w:rPr>
          <w:sz w:val="16"/>
          <w:szCs w:val="16"/>
        </w:rPr>
        <w:t>Shash</w:t>
      </w:r>
      <w:proofErr w:type="spellEnd"/>
      <w:r w:rsidRPr="005F3A9A">
        <w:rPr>
          <w:sz w:val="16"/>
          <w:szCs w:val="16"/>
        </w:rPr>
        <w:t xml:space="preserve"> EP Berhanu MT Ahmed ET </w:t>
      </w:r>
      <w:proofErr w:type="spellStart"/>
      <w:r w:rsidRPr="005F3A9A">
        <w:rPr>
          <w:sz w:val="16"/>
          <w:szCs w:val="16"/>
        </w:rPr>
        <w:t>Negatie</w:t>
      </w:r>
      <w:proofErr w:type="spellEnd"/>
      <w:r w:rsidRPr="005F3A9A">
        <w:rPr>
          <w:sz w:val="16"/>
          <w:szCs w:val="16"/>
        </w:rPr>
        <w:t xml:space="preserve"> </w:t>
      </w:r>
    </w:p>
    <w:p w14:paraId="0C35F62B" w14:textId="77777777" w:rsidR="005F3A9A" w:rsidRDefault="005F3A9A">
      <w:pPr>
        <w:tabs>
          <w:tab w:val="left" w:pos="384"/>
        </w:tabs>
        <w:ind w:right="117"/>
        <w:rPr>
          <w:rFonts w:ascii="Calibri" w:eastAsia="Calibri" w:hAnsi="Calibri" w:cs="Calibri"/>
          <w:sz w:val="16"/>
          <w:szCs w:val="16"/>
        </w:rPr>
      </w:pPr>
      <w:r>
        <w:rPr>
          <w:rFonts w:ascii="Calibri" w:eastAsia="Calibri" w:hAnsi="Calibri" w:cs="Calibri"/>
          <w:sz w:val="16"/>
          <w:szCs w:val="16"/>
        </w:rPr>
        <w:t xml:space="preserve">          </w:t>
      </w:r>
      <w:r w:rsidRPr="005F3A9A">
        <w:rPr>
          <w:rFonts w:ascii="Calibri" w:eastAsia="Calibri" w:hAnsi="Calibri" w:cs="Calibri"/>
          <w:sz w:val="16"/>
          <w:szCs w:val="16"/>
        </w:rPr>
        <w:t xml:space="preserve">HM. Guillain-Barré syndrome following falciparum malaria infection: </w:t>
      </w:r>
      <w:proofErr w:type="spellStart"/>
      <w:r w:rsidRPr="005F3A9A">
        <w:rPr>
          <w:rFonts w:ascii="Calibri" w:eastAsia="Calibri" w:hAnsi="Calibri" w:cs="Calibri"/>
          <w:sz w:val="16"/>
          <w:szCs w:val="16"/>
        </w:rPr>
        <w:t>acase</w:t>
      </w:r>
      <w:proofErr w:type="spellEnd"/>
      <w:r w:rsidRPr="005F3A9A">
        <w:rPr>
          <w:rFonts w:ascii="Calibri" w:eastAsia="Calibri" w:hAnsi="Calibri" w:cs="Calibri"/>
          <w:sz w:val="16"/>
          <w:szCs w:val="16"/>
        </w:rPr>
        <w:t xml:space="preserve"> </w:t>
      </w:r>
    </w:p>
    <w:p w14:paraId="101849E8" w14:textId="2B0F8FA7" w:rsidR="00E11F59" w:rsidRPr="005F3A9A" w:rsidRDefault="005F3A9A">
      <w:pPr>
        <w:tabs>
          <w:tab w:val="left" w:pos="384"/>
        </w:tabs>
        <w:ind w:right="117"/>
        <w:rPr>
          <w:rFonts w:ascii="Calibri" w:eastAsia="Calibri" w:hAnsi="Calibri" w:cs="Calibri"/>
          <w:sz w:val="16"/>
          <w:szCs w:val="16"/>
        </w:rPr>
      </w:pPr>
      <w:r>
        <w:rPr>
          <w:rFonts w:ascii="Calibri" w:eastAsia="Calibri" w:hAnsi="Calibri" w:cs="Calibri"/>
          <w:sz w:val="16"/>
          <w:szCs w:val="16"/>
        </w:rPr>
        <w:t xml:space="preserve">          </w:t>
      </w:r>
      <w:r w:rsidRPr="005F3A9A">
        <w:rPr>
          <w:rFonts w:ascii="Calibri" w:eastAsia="Calibri" w:hAnsi="Calibri" w:cs="Calibri"/>
          <w:sz w:val="16"/>
          <w:szCs w:val="16"/>
        </w:rPr>
        <w:t xml:space="preserve">report. 25(1):37. </w:t>
      </w:r>
    </w:p>
    <w:p w14:paraId="0ED7F471" w14:textId="77777777" w:rsidR="00E11F59" w:rsidRDefault="00000000">
      <w:pPr>
        <w:spacing w:line="200" w:lineRule="exact"/>
        <w:jc w:val="both"/>
        <w:rPr>
          <w:rFonts w:ascii="Calibri" w:hAnsi="Calibri"/>
        </w:rPr>
        <w:sectPr w:rsidR="00E11F59">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13B5156" w14:textId="5FDDB021" w:rsidR="00E11F59" w:rsidRPr="0079245B" w:rsidRDefault="00000000" w:rsidP="0079245B">
      <w:pPr>
        <w:pStyle w:val="BodyText"/>
        <w:rPr>
          <w:rFonts w:ascii="Calibri"/>
          <w:b/>
          <w:sz w:val="20"/>
        </w:rPr>
      </w:pPr>
      <w:r>
        <w:rPr>
          <w:rFonts w:ascii="Calibri"/>
          <w:sz w:val="20"/>
        </w:rPr>
        <w:t xml:space="preserve">   </w:t>
      </w:r>
      <w:r w:rsidR="0079245B">
        <w:rPr>
          <w:rFonts w:ascii="Arial"/>
          <w:noProof/>
          <w:color w:val="BF5A14"/>
        </w:rPr>
        <w:drawing>
          <wp:inline distT="0" distB="0" distL="114300" distR="114300" wp14:anchorId="06D870E0" wp14:editId="386F0543">
            <wp:extent cx="661670" cy="685165"/>
            <wp:effectExtent l="0" t="0" r="11430" b="635"/>
            <wp:docPr id="3" name="Picture 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2"/>
                    <pic:cNvPicPr>
                      <a:picLocks noChangeAspect="1"/>
                    </pic:cNvPicPr>
                  </pic:nvPicPr>
                  <pic:blipFill>
                    <a:blip r:embed="rId11"/>
                    <a:stretch>
                      <a:fillRect/>
                    </a:stretch>
                  </pic:blipFill>
                  <pic:spPr>
                    <a:xfrm>
                      <a:off x="0" y="0"/>
                      <a:ext cx="661670" cy="685165"/>
                    </a:xfrm>
                    <a:prstGeom prst="rect">
                      <a:avLst/>
                    </a:prstGeom>
                  </pic:spPr>
                </pic:pic>
              </a:graphicData>
            </a:graphic>
          </wp:inline>
        </w:drawing>
      </w:r>
      <w:r>
        <w:rPr>
          <w:rFonts w:ascii="Calibri"/>
          <w:noProof/>
          <w:sz w:val="4"/>
          <w:lang w:val="en-IN" w:eastAsia="en-IN"/>
        </w:rPr>
        <mc:AlternateContent>
          <mc:Choice Requires="wpg">
            <w:drawing>
              <wp:inline distT="0" distB="0" distL="0" distR="0" wp14:anchorId="093C92F5" wp14:editId="73DE77B3">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7409FF1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186C0AE" w14:textId="4D8BF77C" w:rsidR="0079245B" w:rsidRDefault="0079245B" w:rsidP="0079245B">
      <w:pPr>
        <w:spacing w:before="92"/>
        <w:ind w:right="4234"/>
        <w:sectPr w:rsidR="0079245B">
          <w:type w:val="continuous"/>
          <w:pgSz w:w="11910" w:h="16840"/>
          <w:pgMar w:top="1740" w:right="600" w:bottom="840" w:left="620" w:header="720" w:footer="720" w:gutter="0"/>
          <w:cols w:space="720"/>
        </w:sectPr>
      </w:pPr>
    </w:p>
    <w:p w14:paraId="288F9C87" w14:textId="56BAD959" w:rsidR="0079245B" w:rsidRPr="0079245B" w:rsidRDefault="00000000" w:rsidP="0079245B">
      <w:pPr>
        <w:spacing w:before="92"/>
        <w:ind w:right="4234"/>
        <w:rPr>
          <w:rFonts w:ascii="Arial"/>
          <w:color w:val="BF5A14"/>
          <w:sz w:val="16"/>
          <w:szCs w:val="16"/>
        </w:rPr>
      </w:pPr>
      <w:r w:rsidRPr="0079245B">
        <w:rPr>
          <w:rFonts w:ascii="Arial"/>
          <w:color w:val="BF5A14"/>
          <w:sz w:val="16"/>
          <w:szCs w:val="16"/>
        </w:rPr>
        <w:t>Biography</w:t>
      </w:r>
    </w:p>
    <w:p w14:paraId="499AAA5A" w14:textId="66ADDA62" w:rsidR="0079245B" w:rsidRPr="0079245B" w:rsidRDefault="0079245B" w:rsidP="0079245B">
      <w:pPr>
        <w:pStyle w:val="BodyText"/>
        <w:rPr>
          <w:sz w:val="14"/>
          <w:szCs w:val="14"/>
        </w:rPr>
        <w:sectPr w:rsidR="0079245B" w:rsidRPr="0079245B" w:rsidSect="0079245B">
          <w:type w:val="continuous"/>
          <w:pgSz w:w="11910" w:h="16840"/>
          <w:pgMar w:top="1740" w:right="600" w:bottom="840" w:left="620" w:header="720" w:footer="720" w:gutter="0"/>
          <w:cols w:space="720"/>
        </w:sectPr>
      </w:pPr>
      <w:r w:rsidRPr="0079245B">
        <w:rPr>
          <w:sz w:val="14"/>
          <w:szCs w:val="14"/>
        </w:rPr>
        <w:t xml:space="preserve">Dr. Molla Asnake, a physician and researcher with broad experience in emergency and critical </w:t>
      </w:r>
      <w:r w:rsidRPr="0079245B">
        <w:rPr>
          <w:sz w:val="14"/>
          <w:szCs w:val="14"/>
        </w:rPr>
        <w:t xml:space="preserve">care </w:t>
      </w:r>
      <w:proofErr w:type="gramStart"/>
      <w:r w:rsidRPr="0079245B">
        <w:rPr>
          <w:sz w:val="14"/>
          <w:szCs w:val="14"/>
        </w:rPr>
        <w:t>medicine</w:t>
      </w:r>
      <w:r w:rsidRPr="0079245B">
        <w:rPr>
          <w:sz w:val="14"/>
          <w:szCs w:val="14"/>
        </w:rPr>
        <w:t>,</w:t>
      </w:r>
      <w:r w:rsidRPr="0079245B">
        <w:rPr>
          <w:sz w:val="14"/>
          <w:szCs w:val="14"/>
        </w:rPr>
        <w:t xml:space="preserve">  </w:t>
      </w:r>
      <w:r w:rsidRPr="0079245B">
        <w:rPr>
          <w:sz w:val="14"/>
          <w:szCs w:val="14"/>
        </w:rPr>
        <w:t>presents</w:t>
      </w:r>
      <w:proofErr w:type="gramEnd"/>
      <w:r w:rsidRPr="0079245B">
        <w:rPr>
          <w:sz w:val="14"/>
          <w:szCs w:val="14"/>
        </w:rPr>
        <w:t xml:space="preserve"> an in-depth evaluation of Circle of Willis (</w:t>
      </w:r>
      <w:proofErr w:type="spellStart"/>
      <w:r w:rsidRPr="0079245B">
        <w:rPr>
          <w:sz w:val="14"/>
          <w:szCs w:val="14"/>
        </w:rPr>
        <w:t>CoW</w:t>
      </w:r>
      <w:proofErr w:type="spellEnd"/>
      <w:r w:rsidRPr="0079245B">
        <w:rPr>
          <w:sz w:val="14"/>
          <w:szCs w:val="14"/>
        </w:rPr>
        <w:t xml:space="preserve">) anatomical variations and their clinical significance in stroke and aneurysm. Drawing from his experience in both clinical practice and academic research, Dr. Molla applies an open and contextual evaluation framework rooted in responsive constructivism and Fourth Generation Evaluation (Guba &amp; Lincoln, 1989). His approach values stakeholder perspectives and integrates data-driven insights with clinical relevance. This study, conducted at a tertiary hospital in Ethiopia, explores the frequency, patterns, and potential associations of </w:t>
      </w:r>
      <w:proofErr w:type="spellStart"/>
      <w:r w:rsidRPr="0079245B">
        <w:rPr>
          <w:sz w:val="14"/>
          <w:szCs w:val="14"/>
        </w:rPr>
        <w:t>CoW</w:t>
      </w:r>
      <w:proofErr w:type="spellEnd"/>
      <w:r w:rsidRPr="0079245B">
        <w:rPr>
          <w:sz w:val="14"/>
          <w:szCs w:val="14"/>
        </w:rPr>
        <w:t xml:space="preserve"> variants with cerebrovascular events, highlighting implications for early diagnosis and targeted prevention in low-resource settings. Through this work, Dr. Molla aims to strengthen </w:t>
      </w:r>
      <w:proofErr w:type="spellStart"/>
      <w:r w:rsidRPr="0079245B">
        <w:rPr>
          <w:sz w:val="14"/>
          <w:szCs w:val="14"/>
        </w:rPr>
        <w:t>neurovasc</w:t>
      </w:r>
      <w:proofErr w:type="spellEnd"/>
    </w:p>
    <w:p w14:paraId="1A0EB45F" w14:textId="77777777" w:rsidR="0079245B" w:rsidRDefault="0079245B" w:rsidP="0079245B">
      <w:pPr>
        <w:pStyle w:val="BodyText"/>
        <w:rPr>
          <w:sz w:val="14"/>
          <w:szCs w:val="14"/>
        </w:rPr>
      </w:pPr>
      <w:r w:rsidRPr="0079245B">
        <w:rPr>
          <w:sz w:val="14"/>
          <w:szCs w:val="14"/>
        </w:rPr>
        <w:t>research capacity in Ethiopia and promote evidence-based strategies to reduce stroke-related morbidity and mortality</w:t>
      </w:r>
    </w:p>
    <w:p w14:paraId="62747574" w14:textId="5936309C" w:rsidR="00E11F59" w:rsidRPr="0079245B" w:rsidRDefault="00000000" w:rsidP="0079245B">
      <w:pPr>
        <w:pStyle w:val="BodyText"/>
        <w:rPr>
          <w:sz w:val="22"/>
        </w:rPr>
      </w:pPr>
      <w:r w:rsidRPr="0079245B">
        <w:rPr>
          <w:sz w:val="14"/>
          <w:szCs w:val="14"/>
        </w:rPr>
        <w:t xml:space="preserve">Email: </w:t>
      </w:r>
      <w:r w:rsidR="0079245B" w:rsidRPr="0079245B">
        <w:rPr>
          <w:rFonts w:ascii="Times New Roman" w:hAnsi="Times New Roman" w:cs="Times New Roman"/>
          <w:sz w:val="16"/>
          <w:szCs w:val="16"/>
        </w:rPr>
        <w:t>mollaasnake75@gmail.com</w:t>
      </w:r>
    </w:p>
    <w:p w14:paraId="6288D032" w14:textId="77777777" w:rsidR="00D50AAB" w:rsidRDefault="00D50AAB" w:rsidP="00BB2EB7">
      <w:pPr>
        <w:pStyle w:val="BodyText"/>
        <w:rPr>
          <w:rFonts w:ascii="Arial"/>
          <w:sz w:val="19"/>
        </w:rPr>
      </w:pPr>
    </w:p>
    <w:p w14:paraId="05AA3DF8" w14:textId="77777777" w:rsidR="00D50AAB" w:rsidRDefault="00D50AAB" w:rsidP="00BB2EB7">
      <w:pPr>
        <w:pStyle w:val="BodyText"/>
        <w:rPr>
          <w:rFonts w:ascii="Arial"/>
          <w:sz w:val="19"/>
        </w:rPr>
      </w:pPr>
    </w:p>
    <w:p w14:paraId="02E176CF" w14:textId="2FC9A649" w:rsidR="00E11F59" w:rsidRPr="00BB2EB7" w:rsidRDefault="0079245B" w:rsidP="00BB2EB7">
      <w:pPr>
        <w:pStyle w:val="BodyText"/>
        <w:rPr>
          <w:rFonts w:ascii="Arial"/>
          <w:sz w:val="20"/>
        </w:rPr>
        <w:sectPr w:rsidR="00E11F59" w:rsidRPr="00BB2EB7">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251656192" behindDoc="0" locked="0" layoutInCell="1" allowOverlap="1" wp14:anchorId="37BAF298" wp14:editId="4FF4E365">
                <wp:simplePos x="0" y="0"/>
                <wp:positionH relativeFrom="page">
                  <wp:posOffset>2058670</wp:posOffset>
                </wp:positionH>
                <wp:positionV relativeFrom="paragraph">
                  <wp:posOffset>62937</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0B5B3206" id="Line 3" o:spid="_x0000_s1026" style="position:absolute;z-index:251656192;visibility:visible;mso-wrap-style:square;mso-wrap-distance-left:0;mso-wrap-distance-top:0;mso-wrap-distance-right:0;mso-wrap-distance-bottom:0;mso-position-horizontal:absolute;mso-position-horizontal-relative:page;mso-position-vertical:absolute;mso-position-vertical-relative:text" from="162.1pt,4.95pt" to="433.1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" strokecolor="#004080" strokeweight=".5pt">
                <w10:wrap type="topAndBottom" anchorx="page"/>
              </v:line>
            </w:pict>
          </mc:Fallback>
        </mc:AlternateContent>
      </w:r>
      <w:r w:rsidR="00000000">
        <w:rPr>
          <w:rFonts w:ascii="Minion Pro"/>
          <w:b/>
          <w:sz w:val="20"/>
        </w:rPr>
        <w:t>Notes/</w:t>
      </w:r>
      <w:r w:rsidR="00B410A9">
        <w:rPr>
          <w:rFonts w:ascii="Minion Pro"/>
          <w:b/>
          <w:sz w:val="20"/>
        </w:rPr>
        <w:t>Comme</w:t>
      </w:r>
      <w:r w:rsidR="00D50AAB">
        <w:rPr>
          <w:rFonts w:ascii="Minion Pro"/>
          <w:b/>
          <w:sz w:val="20"/>
        </w:rPr>
        <w:t>nt</w:t>
      </w:r>
      <w:r w:rsidR="005F3A9A">
        <w:rPr>
          <w:rFonts w:ascii="Minion Pro"/>
          <w:b/>
          <w:sz w:val="20"/>
        </w:rPr>
        <w:t>. Thank you for considering my abstract for presentati</w:t>
      </w:r>
      <w:r w:rsidR="00CB54C3">
        <w:rPr>
          <w:rFonts w:ascii="Minion Pro"/>
          <w:b/>
          <w:sz w:val="20"/>
        </w:rPr>
        <w:t>on</w:t>
      </w:r>
    </w:p>
    <w:p w14:paraId="78F2F282" w14:textId="6537BD64" w:rsidR="00E11F59" w:rsidRDefault="00E11F59">
      <w:pPr>
        <w:pStyle w:val="BodyText"/>
        <w:spacing w:before="3"/>
        <w:rPr>
          <w:rFonts w:ascii="Minion Pro"/>
          <w:sz w:val="26"/>
        </w:rPr>
      </w:pPr>
    </w:p>
    <w:sectPr w:rsidR="00E11F59">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20B68" w14:textId="77777777" w:rsidR="00E73352" w:rsidRDefault="00E73352">
      <w:r>
        <w:separator/>
      </w:r>
    </w:p>
  </w:endnote>
  <w:endnote w:type="continuationSeparator" w:id="0">
    <w:p w14:paraId="3FC00E63" w14:textId="77777777" w:rsidR="00E73352" w:rsidRDefault="00E73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erif">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53F4" w14:textId="77777777" w:rsidR="00E11F59" w:rsidRDefault="00000000">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492F0620" wp14:editId="2C0AD2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152609D1" w14:textId="77777777" w:rsidR="00E11F59"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6F534814" w14:textId="77777777" w:rsidR="00E11F59"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492F062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52609D1" w14:textId="77777777" w:rsidR="00E11F59"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6F534814" w14:textId="77777777" w:rsidR="00E11F59"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362B903B" wp14:editId="4048FE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677A3035" w14:textId="77777777" w:rsidR="00E11F59"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55985132" w14:textId="77777777" w:rsidR="00E11F59" w:rsidRDefault="00000000">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362B903B" id="Text Box 2" o:spid="_x0000_s1029" type="#_x0000_t202" style="position:absolute;margin-left:252.1pt;margin-top:799.05pt;width:91.9pt;height:24.9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77A3035" w14:textId="77777777" w:rsidR="00E11F59"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55985132" w14:textId="77777777" w:rsidR="00E11F59" w:rsidRDefault="00000000">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680" behindDoc="1" locked="0" layoutInCell="1" allowOverlap="1" wp14:anchorId="4B4FB146" wp14:editId="4B50AF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1007B077" w14:textId="77777777" w:rsidR="00E11F59"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12098EE3" w14:textId="77777777" w:rsidR="00E11F59"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4B4FB146" id="Text Box 1" o:spid="_x0000_s1030" type="#_x0000_t202" style="position:absolute;margin-left:468.9pt;margin-top:798.8pt;width:91.4pt;height:26.05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007B077" w14:textId="77777777" w:rsidR="00E11F59"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12098EE3" w14:textId="77777777" w:rsidR="00E11F59"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8E437" w14:textId="77777777" w:rsidR="00E73352" w:rsidRDefault="00E73352">
      <w:r>
        <w:separator/>
      </w:r>
    </w:p>
  </w:footnote>
  <w:footnote w:type="continuationSeparator" w:id="0">
    <w:p w14:paraId="43851CE5" w14:textId="77777777" w:rsidR="00E73352" w:rsidRDefault="00E73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2667" w14:textId="77777777" w:rsidR="00E11F59" w:rsidRDefault="00000000">
    <w:pPr>
      <w:pStyle w:val="BodyText"/>
      <w:spacing w:line="14" w:lineRule="auto"/>
      <w:rPr>
        <w:sz w:val="20"/>
      </w:rPr>
    </w:pPr>
    <w:r>
      <w:rPr>
        <w:noProof/>
        <w:lang w:val="en-IN" w:eastAsia="en-IN"/>
      </w:rPr>
      <mc:AlternateContent>
        <mc:Choice Requires="wps">
          <w:drawing>
            <wp:anchor distT="0" distB="0" distL="114300" distR="114300" simplePos="0" relativeHeight="251659776" behindDoc="1" locked="0" layoutInCell="1" allowOverlap="1" wp14:anchorId="61022DD8" wp14:editId="2BA59BA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715E69DB" w14:textId="77777777" w:rsidR="00E11F59" w:rsidRDefault="00000000">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61022DD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15E69DB" w14:textId="77777777" w:rsidR="00E11F59" w:rsidRDefault="00000000">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0B510387" wp14:editId="3E010BD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517B16A0" w14:textId="77777777" w:rsidR="00E11F59" w:rsidRDefault="00000000">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7A1FE1C5" w14:textId="77777777" w:rsidR="00E11F59" w:rsidRDefault="00000000">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 xml:space="preserve">(June 15-16, </w:t>
                          </w:r>
                          <w:proofErr w:type="gramStart"/>
                          <w:r>
                            <w:rPr>
                              <w:rFonts w:ascii="Minion Pro"/>
                              <w:color w:val="FFFFFF" w:themeColor="background1"/>
                              <w:sz w:val="24"/>
                            </w:rPr>
                            <w:t>2016</w:t>
                          </w:r>
                          <w:proofErr w:type="gramEnd"/>
                          <w:r>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anchor>
          </w:drawing>
        </mc:Choice>
        <mc:Fallback>
          <w:pict>
            <v:shape w14:anchorId="0B510387" id="Text Box 4" o:spid="_x0000_s1027" type="#_x0000_t202" style="position:absolute;margin-left:35pt;margin-top:48.3pt;width:515.95pt;height:40.1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17B16A0" w14:textId="77777777" w:rsidR="00E11F59" w:rsidRDefault="00000000">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7A1FE1C5" w14:textId="77777777" w:rsidR="00E11F59" w:rsidRDefault="00000000">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 xml:space="preserve">(June 15-16, </w:t>
                    </w:r>
                    <w:proofErr w:type="gramStart"/>
                    <w:r>
                      <w:rPr>
                        <w:rFonts w:ascii="Minion Pro"/>
                        <w:color w:val="FFFFFF" w:themeColor="background1"/>
                        <w:sz w:val="24"/>
                      </w:rPr>
                      <w:t>2016</w:t>
                    </w:r>
                    <w:proofErr w:type="gramEnd"/>
                    <w:r>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multilevel"/>
    <w:tmpl w:val="31C80552"/>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num w:numId="1" w16cid:durableId="3360075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90E6E"/>
    <w:rsid w:val="000E2911"/>
    <w:rsid w:val="001263DF"/>
    <w:rsid w:val="001E763C"/>
    <w:rsid w:val="001E7EE6"/>
    <w:rsid w:val="00292ED9"/>
    <w:rsid w:val="00314AFB"/>
    <w:rsid w:val="003B76D9"/>
    <w:rsid w:val="00404E5B"/>
    <w:rsid w:val="00414F7B"/>
    <w:rsid w:val="004355DC"/>
    <w:rsid w:val="004749B4"/>
    <w:rsid w:val="00494130"/>
    <w:rsid w:val="004A2D5E"/>
    <w:rsid w:val="004F3523"/>
    <w:rsid w:val="00507412"/>
    <w:rsid w:val="005973B9"/>
    <w:rsid w:val="005B3A56"/>
    <w:rsid w:val="005F3A9A"/>
    <w:rsid w:val="006060CE"/>
    <w:rsid w:val="0063497F"/>
    <w:rsid w:val="0078738A"/>
    <w:rsid w:val="0079245B"/>
    <w:rsid w:val="0083522D"/>
    <w:rsid w:val="00873DF0"/>
    <w:rsid w:val="008756E6"/>
    <w:rsid w:val="009B2D44"/>
    <w:rsid w:val="00A07E82"/>
    <w:rsid w:val="00A67FC7"/>
    <w:rsid w:val="00A9710C"/>
    <w:rsid w:val="00AE3E37"/>
    <w:rsid w:val="00B21A57"/>
    <w:rsid w:val="00B410A9"/>
    <w:rsid w:val="00BB2EB7"/>
    <w:rsid w:val="00C33602"/>
    <w:rsid w:val="00CB54C3"/>
    <w:rsid w:val="00CD6F55"/>
    <w:rsid w:val="00D50AAB"/>
    <w:rsid w:val="00D62425"/>
    <w:rsid w:val="00D85E08"/>
    <w:rsid w:val="00DE3104"/>
    <w:rsid w:val="00E11F59"/>
    <w:rsid w:val="00E73352"/>
    <w:rsid w:val="00F72EEA"/>
    <w:rsid w:val="00F8136A"/>
    <w:rsid w:val="00F84CAE"/>
    <w:rsid w:val="6ECB29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CB9B2B1"/>
  <w15:docId w15:val="{5ED16E6C-C669-4608-82CD-9C0BEB9D3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pPr>
      <w:ind w:left="100"/>
      <w:outlineLvl w:val="1"/>
    </w:pPr>
    <w:rPr>
      <w:rFonts w:ascii="Minion Pro" w:eastAsia="Minion Pro" w:hAnsi="Minion Pro" w:cs="Minion Pro"/>
      <w:sz w:val="24"/>
      <w:szCs w:val="24"/>
    </w:rPr>
  </w:style>
  <w:style w:type="paragraph" w:styleId="Heading3">
    <w:name w:val="heading 3"/>
    <w:basedOn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NormalWeb">
    <w:name w:val="Normal (Web)"/>
    <w:uiPriority w:val="99"/>
    <w:semiHidden/>
    <w:unhideWhenUsed/>
    <w:pPr>
      <w:spacing w:beforeAutospacing="1" w:afterAutospacing="1"/>
    </w:pPr>
    <w:rPr>
      <w:sz w:val="24"/>
      <w:szCs w:val="24"/>
      <w:lang w:eastAsia="zh-CN"/>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semiHidden/>
    <w:rPr>
      <w:rFonts w:ascii="Tahoma" w:eastAsia="Tw Cen MT" w:hAnsi="Tahoma" w:cs="Tahoma"/>
      <w:sz w:val="16"/>
      <w:szCs w:val="16"/>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kebede molla</cp:lastModifiedBy>
  <cp:revision>14</cp:revision>
  <dcterms:created xsi:type="dcterms:W3CDTF">2016-08-31T13:10:00Z</dcterms:created>
  <dcterms:modified xsi:type="dcterms:W3CDTF">2025-11-13T10:02:00Z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1033-12.2.0.23155</vt:lpwstr>
  </property>
  <property fmtid="{D5CDD505-2E9C-101B-9397-08002B2CF9AE}" pid="6" name="ICV">
    <vt:lpwstr>54E231A38B8744ED8F5486E360E8ECD0_13</vt:lpwstr>
  </property>
</Properties>
</file>