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30749" w14:textId="77777777" w:rsidR="00FE2B4C" w:rsidRDefault="00FE2B4C" w:rsidP="00FE2B4C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7696F878" w14:textId="5D657B52" w:rsidR="00FE2B4C" w:rsidRDefault="00FE2B4C" w:rsidP="00FE2B4C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E2B4C">
        <w:rPr>
          <w:rFonts w:asciiTheme="majorBidi" w:hAnsiTheme="majorBidi" w:cstheme="majorBidi"/>
          <w:b/>
          <w:bCs/>
          <w:sz w:val="28"/>
          <w:szCs w:val="28"/>
        </w:rPr>
        <w:t>Evaluation of plasma levels of neopterin and soluble CD40 ligand in patients with acute ischemic stroke in upper Egypt: can they surrogate the severity and functional outcome?</w:t>
      </w:r>
    </w:p>
    <w:p w14:paraId="1938EB5B" w14:textId="7C9EFCAD" w:rsidR="00FE2B4C" w:rsidRPr="00FE2B4C" w:rsidRDefault="00FE2B4C" w:rsidP="00FE2B4C">
      <w:pPr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FE2B4C">
        <w:rPr>
          <w:rFonts w:asciiTheme="majorBidi" w:hAnsiTheme="majorBidi" w:cstheme="majorBidi"/>
          <w:sz w:val="28"/>
          <w:szCs w:val="28"/>
        </w:rPr>
        <w:t>Abeer</w:t>
      </w:r>
      <w:proofErr w:type="spellEnd"/>
      <w:r w:rsidRPr="00FE2B4C">
        <w:rPr>
          <w:rFonts w:asciiTheme="majorBidi" w:hAnsiTheme="majorBidi" w:cstheme="majorBidi"/>
          <w:sz w:val="28"/>
          <w:szCs w:val="28"/>
        </w:rPr>
        <w:t xml:space="preserve"> A Tony</w:t>
      </w:r>
      <w:r w:rsidRPr="00FE2B4C">
        <w:rPr>
          <w:rFonts w:asciiTheme="majorBidi" w:hAnsiTheme="majorBidi" w:cstheme="majorBidi"/>
          <w:sz w:val="28"/>
          <w:szCs w:val="28"/>
        </w:rPr>
        <w:t>,</w:t>
      </w:r>
      <w:r w:rsidRPr="00FE2B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FE2B4C">
        <w:rPr>
          <w:rFonts w:asciiTheme="majorBidi" w:hAnsiTheme="majorBidi" w:cstheme="majorBidi"/>
          <w:sz w:val="28"/>
          <w:szCs w:val="28"/>
        </w:rPr>
        <w:t>Effat</w:t>
      </w:r>
      <w:proofErr w:type="spellEnd"/>
      <w:r w:rsidRPr="00FE2B4C">
        <w:rPr>
          <w:rFonts w:asciiTheme="majorBidi" w:hAnsiTheme="majorBidi" w:cstheme="majorBidi"/>
          <w:sz w:val="28"/>
          <w:szCs w:val="28"/>
        </w:rPr>
        <w:t xml:space="preserve"> AE Tony</w:t>
      </w:r>
      <w:r w:rsidRPr="00FE2B4C">
        <w:rPr>
          <w:rFonts w:asciiTheme="majorBidi" w:hAnsiTheme="majorBidi" w:cstheme="majorBidi"/>
          <w:sz w:val="28"/>
          <w:szCs w:val="28"/>
        </w:rPr>
        <w:t>,</w:t>
      </w:r>
      <w:r w:rsidRPr="00FE2B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FE2B4C">
        <w:rPr>
          <w:rFonts w:asciiTheme="majorBidi" w:hAnsiTheme="majorBidi" w:cstheme="majorBidi"/>
          <w:sz w:val="28"/>
          <w:szCs w:val="28"/>
        </w:rPr>
        <w:t>Wafaa</w:t>
      </w:r>
      <w:proofErr w:type="spellEnd"/>
      <w:r w:rsidRPr="00FE2B4C">
        <w:rPr>
          <w:rFonts w:asciiTheme="majorBidi" w:hAnsiTheme="majorBidi" w:cstheme="majorBidi"/>
          <w:sz w:val="28"/>
          <w:szCs w:val="28"/>
        </w:rPr>
        <w:t xml:space="preserve"> Salah Mohammed</w:t>
      </w:r>
      <w:r w:rsidRPr="00FE2B4C">
        <w:rPr>
          <w:rFonts w:asciiTheme="majorBidi" w:hAnsiTheme="majorBidi" w:cstheme="majorBidi"/>
          <w:sz w:val="28"/>
          <w:szCs w:val="28"/>
        </w:rPr>
        <w:t xml:space="preserve"> and</w:t>
      </w:r>
      <w:r w:rsidRPr="00FE2B4C">
        <w:rPr>
          <w:rFonts w:asciiTheme="majorBidi" w:hAnsiTheme="majorBidi" w:cstheme="majorBidi"/>
          <w:sz w:val="28"/>
          <w:szCs w:val="28"/>
        </w:rPr>
        <w:t xml:space="preserve"> Emad F </w:t>
      </w:r>
      <w:proofErr w:type="spellStart"/>
      <w:r w:rsidRPr="00FE2B4C">
        <w:rPr>
          <w:rFonts w:asciiTheme="majorBidi" w:hAnsiTheme="majorBidi" w:cstheme="majorBidi"/>
          <w:sz w:val="28"/>
          <w:szCs w:val="28"/>
        </w:rPr>
        <w:t>Kholef</w:t>
      </w:r>
      <w:proofErr w:type="spellEnd"/>
    </w:p>
    <w:p w14:paraId="28328C27" w14:textId="77777777" w:rsidR="00FE2B4C" w:rsidRDefault="00FE2B4C" w:rsidP="00FE2B4C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07D62E1" w14:textId="18C7130D" w:rsidR="00FE2B4C" w:rsidRPr="00FE2B4C" w:rsidRDefault="00FE2B4C" w:rsidP="00FE2B4C">
      <w:pPr>
        <w:jc w:val="both"/>
        <w:rPr>
          <w:rFonts w:asciiTheme="majorBidi" w:hAnsiTheme="majorBidi" w:cstheme="majorBidi"/>
          <w:sz w:val="28"/>
          <w:szCs w:val="28"/>
        </w:rPr>
      </w:pPr>
      <w:r w:rsidRPr="00FE2B4C">
        <w:rPr>
          <w:rFonts w:asciiTheme="majorBidi" w:hAnsiTheme="majorBidi" w:cstheme="majorBidi"/>
          <w:b/>
          <w:bCs/>
          <w:sz w:val="28"/>
          <w:szCs w:val="28"/>
        </w:rPr>
        <w:t>Background:</w:t>
      </w:r>
      <w:r w:rsidRPr="00FE2B4C">
        <w:rPr>
          <w:rFonts w:asciiTheme="majorBidi" w:hAnsiTheme="majorBidi" w:cstheme="majorBidi"/>
          <w:sz w:val="28"/>
          <w:szCs w:val="28"/>
        </w:rPr>
        <w:t xml:space="preserve"> Inflammation constitutes a major component of ischemic stroke pathology. The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 xml:space="preserve">prognostic value of “neopterin” and soluble CD40 ligand (sCD40L), as a potential </w:t>
      </w:r>
      <w:proofErr w:type="gramStart"/>
      <w:r w:rsidRPr="00FE2B4C">
        <w:rPr>
          <w:rFonts w:asciiTheme="majorBidi" w:hAnsiTheme="majorBidi" w:cstheme="majorBidi"/>
          <w:sz w:val="28"/>
          <w:szCs w:val="28"/>
        </w:rPr>
        <w:t>biomarker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Pr="00FE2B4C">
        <w:rPr>
          <w:rFonts w:asciiTheme="majorBidi" w:hAnsiTheme="majorBidi" w:cstheme="majorBidi"/>
          <w:sz w:val="28"/>
          <w:szCs w:val="28"/>
        </w:rPr>
        <w:t>of</w:t>
      </w:r>
      <w:proofErr w:type="gramEnd"/>
      <w:r w:rsidRPr="00FE2B4C">
        <w:rPr>
          <w:rFonts w:asciiTheme="majorBidi" w:hAnsiTheme="majorBidi" w:cstheme="majorBidi"/>
          <w:sz w:val="28"/>
          <w:szCs w:val="28"/>
        </w:rPr>
        <w:t xml:space="preserve"> ischemic stroke, has been less extensively studied.</w:t>
      </w:r>
    </w:p>
    <w:p w14:paraId="72802FB8" w14:textId="3576AECB" w:rsidR="00FE2B4C" w:rsidRPr="00FE2B4C" w:rsidRDefault="00FE2B4C" w:rsidP="00FE2B4C">
      <w:pPr>
        <w:jc w:val="both"/>
        <w:rPr>
          <w:rFonts w:asciiTheme="majorBidi" w:hAnsiTheme="majorBidi" w:cstheme="majorBidi"/>
          <w:sz w:val="28"/>
          <w:szCs w:val="28"/>
        </w:rPr>
      </w:pPr>
      <w:r w:rsidRPr="00FE2B4C">
        <w:rPr>
          <w:rFonts w:asciiTheme="majorBidi" w:hAnsiTheme="majorBidi" w:cstheme="majorBidi"/>
          <w:b/>
          <w:bCs/>
          <w:sz w:val="28"/>
          <w:szCs w:val="28"/>
        </w:rPr>
        <w:t>Objectives of the study:</w:t>
      </w:r>
      <w:r w:rsidRPr="00FE2B4C">
        <w:rPr>
          <w:rFonts w:asciiTheme="majorBidi" w:hAnsiTheme="majorBidi" w:cstheme="majorBidi"/>
          <w:sz w:val="28"/>
          <w:szCs w:val="28"/>
        </w:rPr>
        <w:t xml:space="preserve"> This study aims at assessing the serum levels of neopterin </w:t>
      </w:r>
      <w:proofErr w:type="gramStart"/>
      <w:r w:rsidRPr="00FE2B4C">
        <w:rPr>
          <w:rFonts w:asciiTheme="majorBidi" w:hAnsiTheme="majorBidi" w:cstheme="majorBidi"/>
          <w:sz w:val="28"/>
          <w:szCs w:val="28"/>
        </w:rPr>
        <w:t>and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Pr="00FE2B4C">
        <w:rPr>
          <w:rFonts w:asciiTheme="majorBidi" w:hAnsiTheme="majorBidi" w:cstheme="majorBidi"/>
          <w:sz w:val="28"/>
          <w:szCs w:val="28"/>
        </w:rPr>
        <w:t>sCD</w:t>
      </w:r>
      <w:proofErr w:type="gramEnd"/>
      <w:r w:rsidRPr="00FE2B4C">
        <w:rPr>
          <w:rFonts w:asciiTheme="majorBidi" w:hAnsiTheme="majorBidi" w:cstheme="majorBidi"/>
          <w:sz w:val="28"/>
          <w:szCs w:val="28"/>
        </w:rPr>
        <w:t>40L in acute ischemic stroke (AIS), to clarify its association with the severity, etiology,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and risk factors of stroke, and to evaluate their relationship with the stroke functional outcome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in our study sample within 90 days of follow-up.</w:t>
      </w:r>
    </w:p>
    <w:p w14:paraId="15DF6F99" w14:textId="5181725E" w:rsidR="00FE2B4C" w:rsidRPr="00FE2B4C" w:rsidRDefault="00FE2B4C" w:rsidP="00FE2B4C">
      <w:pPr>
        <w:jc w:val="both"/>
        <w:rPr>
          <w:rFonts w:asciiTheme="majorBidi" w:hAnsiTheme="majorBidi" w:cstheme="majorBidi"/>
          <w:sz w:val="28"/>
          <w:szCs w:val="28"/>
        </w:rPr>
      </w:pPr>
      <w:r w:rsidRPr="00FE2B4C">
        <w:rPr>
          <w:rFonts w:asciiTheme="majorBidi" w:hAnsiTheme="majorBidi" w:cstheme="majorBidi"/>
          <w:b/>
          <w:bCs/>
          <w:sz w:val="28"/>
          <w:szCs w:val="28"/>
        </w:rPr>
        <w:t>Study sample:</w:t>
      </w:r>
      <w:r w:rsidRPr="00FE2B4C">
        <w:rPr>
          <w:rFonts w:asciiTheme="majorBidi" w:hAnsiTheme="majorBidi" w:cstheme="majorBidi"/>
          <w:sz w:val="28"/>
          <w:szCs w:val="28"/>
        </w:rPr>
        <w:t xml:space="preserve"> This case–control study was conducted on 100 patients with first-ever acute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onset ischemic stroke and 25 control subjects.</w:t>
      </w:r>
    </w:p>
    <w:p w14:paraId="1D865806" w14:textId="749A4C82" w:rsidR="00FE2B4C" w:rsidRPr="00FE2B4C" w:rsidRDefault="00FE2B4C" w:rsidP="00FE2B4C">
      <w:pPr>
        <w:jc w:val="both"/>
        <w:rPr>
          <w:rFonts w:asciiTheme="majorBidi" w:hAnsiTheme="majorBidi" w:cstheme="majorBidi"/>
          <w:sz w:val="28"/>
          <w:szCs w:val="28"/>
        </w:rPr>
      </w:pPr>
      <w:r w:rsidRPr="00FE2B4C">
        <w:rPr>
          <w:rFonts w:asciiTheme="majorBidi" w:hAnsiTheme="majorBidi" w:cstheme="majorBidi"/>
          <w:b/>
          <w:bCs/>
          <w:sz w:val="28"/>
          <w:szCs w:val="28"/>
        </w:rPr>
        <w:t>Methods:</w:t>
      </w:r>
      <w:r w:rsidRPr="00FE2B4C">
        <w:rPr>
          <w:rFonts w:asciiTheme="majorBidi" w:hAnsiTheme="majorBidi" w:cstheme="majorBidi"/>
          <w:sz w:val="28"/>
          <w:szCs w:val="28"/>
        </w:rPr>
        <w:t xml:space="preserve"> Participants were subjected to full history taking and detailed clinical and neurological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examination. Brain imaging was performed after hospital admission. Blood tests were drawn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for assessment of neopterin and sCD40L on the first day of admission.</w:t>
      </w:r>
    </w:p>
    <w:p w14:paraId="743076E7" w14:textId="4386ABFD" w:rsidR="00FE2B4C" w:rsidRPr="00FE2B4C" w:rsidRDefault="00FE2B4C" w:rsidP="00FE2B4C">
      <w:pPr>
        <w:jc w:val="both"/>
        <w:rPr>
          <w:rFonts w:asciiTheme="majorBidi" w:hAnsiTheme="majorBidi" w:cstheme="majorBidi"/>
          <w:sz w:val="28"/>
          <w:szCs w:val="28"/>
        </w:rPr>
      </w:pPr>
      <w:r w:rsidRPr="00FE2B4C">
        <w:rPr>
          <w:rFonts w:asciiTheme="majorBidi" w:hAnsiTheme="majorBidi" w:cstheme="majorBidi"/>
          <w:b/>
          <w:bCs/>
          <w:sz w:val="28"/>
          <w:szCs w:val="28"/>
        </w:rPr>
        <w:t>Results:</w:t>
      </w:r>
      <w:r w:rsidRPr="00FE2B4C">
        <w:rPr>
          <w:rFonts w:asciiTheme="majorBidi" w:hAnsiTheme="majorBidi" w:cstheme="majorBidi"/>
          <w:sz w:val="28"/>
          <w:szCs w:val="28"/>
        </w:rPr>
        <w:t xml:space="preserve"> High levels of neopterin and sCD40L was reported. Their levels were significantly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higher in relation with survival status. There was a relationship between AIS and sCD40L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levels and the severity of the stroke. Within 3 months of follow-up, these biomarkers were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associated significantly with poor functional outcome, within a 90-day follow-up period, and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mortality. These biomarkers were highly associated in patients with small vessel occlusion as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an etiology for AIS.</w:t>
      </w:r>
    </w:p>
    <w:p w14:paraId="17306C1E" w14:textId="09A4C727" w:rsidR="00FE2B4C" w:rsidRPr="00FE2B4C" w:rsidRDefault="00FE2B4C" w:rsidP="00FE2B4C">
      <w:pPr>
        <w:jc w:val="both"/>
        <w:rPr>
          <w:rFonts w:asciiTheme="majorBidi" w:hAnsiTheme="majorBidi" w:cstheme="majorBidi"/>
          <w:sz w:val="28"/>
          <w:szCs w:val="28"/>
        </w:rPr>
      </w:pPr>
      <w:r w:rsidRPr="00FE2B4C">
        <w:rPr>
          <w:rFonts w:asciiTheme="majorBidi" w:hAnsiTheme="majorBidi" w:cstheme="majorBidi"/>
          <w:b/>
          <w:bCs/>
          <w:sz w:val="28"/>
          <w:szCs w:val="28"/>
        </w:rPr>
        <w:t>Conclusion:</w:t>
      </w:r>
      <w:r w:rsidRPr="00FE2B4C">
        <w:rPr>
          <w:rFonts w:asciiTheme="majorBidi" w:hAnsiTheme="majorBidi" w:cstheme="majorBidi"/>
          <w:sz w:val="28"/>
          <w:szCs w:val="28"/>
        </w:rPr>
        <w:t xml:space="preserve"> Neopterin and sCD40L levels increased after AIS. Both biomarkers were strong and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E2B4C">
        <w:rPr>
          <w:rFonts w:asciiTheme="majorBidi" w:hAnsiTheme="majorBidi" w:cstheme="majorBidi"/>
          <w:sz w:val="28"/>
          <w:szCs w:val="28"/>
        </w:rPr>
        <w:t>independent predictors of 90-day unfavorable clinical outcome and death in patients after AIS.</w:t>
      </w:r>
    </w:p>
    <w:p w14:paraId="37B085FB" w14:textId="7E5C72C3" w:rsidR="00FE2B4C" w:rsidRPr="00254E99" w:rsidRDefault="00FE2B4C" w:rsidP="00FE2B4C">
      <w:pPr>
        <w:jc w:val="both"/>
        <w:rPr>
          <w:rFonts w:asciiTheme="majorBidi" w:hAnsiTheme="majorBidi" w:cstheme="majorBidi"/>
        </w:rPr>
      </w:pPr>
      <w:bookmarkStart w:id="0" w:name="_GoBack"/>
      <w:r w:rsidRPr="00254E99">
        <w:rPr>
          <w:rFonts w:asciiTheme="majorBidi" w:hAnsiTheme="majorBidi" w:cstheme="majorBidi"/>
          <w:b/>
          <w:bCs/>
        </w:rPr>
        <w:t>Keywords:</w:t>
      </w:r>
      <w:r w:rsidRPr="00254E99">
        <w:rPr>
          <w:rFonts w:asciiTheme="majorBidi" w:hAnsiTheme="majorBidi" w:cstheme="majorBidi"/>
        </w:rPr>
        <w:t xml:space="preserve"> acute ischemic stroke, soluble CD40 ligand, neopterin, stroke risk factors, functional outcome</w:t>
      </w:r>
    </w:p>
    <w:bookmarkEnd w:id="0"/>
    <w:p w14:paraId="3BABAE22" w14:textId="44441B9A" w:rsidR="00254E99" w:rsidRDefault="00254E99" w:rsidP="00FE2B4C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03E3C734" w14:textId="545DCAB7" w:rsidR="00254E99" w:rsidRDefault="00254E99" w:rsidP="00FE2B4C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2D36AA7E" w14:textId="77777777" w:rsidR="00254E99" w:rsidRPr="00FE2B4C" w:rsidRDefault="00254E99" w:rsidP="00FE2B4C">
      <w:pPr>
        <w:jc w:val="both"/>
        <w:rPr>
          <w:rFonts w:asciiTheme="majorBidi" w:hAnsiTheme="majorBidi" w:cstheme="majorBidi"/>
          <w:sz w:val="28"/>
          <w:szCs w:val="28"/>
        </w:rPr>
      </w:pPr>
    </w:p>
    <w:sectPr w:rsidR="00254E99" w:rsidRPr="00FE2B4C" w:rsidSect="00FE2B4C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4C"/>
    <w:rsid w:val="00254E99"/>
    <w:rsid w:val="00F50337"/>
    <w:rsid w:val="00FE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43A8F"/>
  <w15:chartTrackingRefBased/>
  <w15:docId w15:val="{E246D2E4-D753-43A1-A828-1BD84357D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4E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CompuHome</dc:creator>
  <cp:keywords/>
  <dc:description/>
  <cp:lastModifiedBy>CompuHome</cp:lastModifiedBy>
  <cp:revision>2</cp:revision>
  <dcterms:created xsi:type="dcterms:W3CDTF">2019-09-25T18:01:00Z</dcterms:created>
  <dcterms:modified xsi:type="dcterms:W3CDTF">2019-09-25T18:16:00Z</dcterms:modified>
</cp:coreProperties>
</file>