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D40" w:rsidRDefault="00557D40">
      <w:r>
        <w:t>Prognostic values of peripheral glutamate and TNF-</w:t>
      </w:r>
      <w:r>
        <w:rPr>
          <w:rFonts w:cstheme="minorHAnsi"/>
        </w:rPr>
        <w:t>α</w:t>
      </w:r>
      <w:r>
        <w:t xml:space="preserve"> levels in patients with Intracerebral hemorrhage </w:t>
      </w:r>
    </w:p>
    <w:p w:rsidR="00A2473B" w:rsidRDefault="00A2473B"/>
    <w:p w:rsidR="00A27201" w:rsidRDefault="00770C1E">
      <w:r>
        <w:t>Intracerebral hemorrhage</w:t>
      </w:r>
      <w:r w:rsidR="00E860A0">
        <w:t xml:space="preserve"> (ICH)</w:t>
      </w:r>
      <w:r>
        <w:t>, as a detrimental disease, is associated with 40% one-month fatality and worst neurological outcome among survivors.</w:t>
      </w:r>
      <w:r w:rsidR="00456BD6">
        <w:t xml:space="preserve"> </w:t>
      </w:r>
      <w:r w:rsidR="00DC113D" w:rsidRPr="00456BD6">
        <w:t xml:space="preserve">In the past several years, </w:t>
      </w:r>
      <w:r w:rsidR="00DC113D">
        <w:t>e</w:t>
      </w:r>
      <w:r w:rsidR="00DC113D" w:rsidRPr="00DC113D">
        <w:t>merging evidence suggests</w:t>
      </w:r>
      <w:r w:rsidR="00DC113D">
        <w:t xml:space="preserve"> that inflammatory and excitotoxic mechanisms</w:t>
      </w:r>
      <w:r w:rsidR="00DC113D">
        <w:t xml:space="preserve"> </w:t>
      </w:r>
      <w:r w:rsidR="00DC113D">
        <w:t xml:space="preserve">are in the core of </w:t>
      </w:r>
      <w:r w:rsidR="00DC113D">
        <w:t>the p</w:t>
      </w:r>
      <w:r w:rsidR="00DC113D">
        <w:t>athophysiological processes leading to neurological deterioration and secondary brain injury after ICH</w:t>
      </w:r>
      <w:r w:rsidR="00DC113D">
        <w:t xml:space="preserve">, thus being tied up </w:t>
      </w:r>
      <w:r w:rsidR="00A2473B">
        <w:t>to</w:t>
      </w:r>
      <w:r w:rsidR="00DC113D">
        <w:t xml:space="preserve"> the patient’s outcome</w:t>
      </w:r>
      <w:r w:rsidR="00DC113D">
        <w:t xml:space="preserve">. </w:t>
      </w:r>
      <w:r w:rsidR="00A2473B">
        <w:t xml:space="preserve">Following ICH, </w:t>
      </w:r>
      <w:r w:rsidR="00D134E3" w:rsidRPr="00D134E3">
        <w:t>TNF-α signaling exerts an acute detrimental role</w:t>
      </w:r>
      <w:r w:rsidR="00D134E3">
        <w:t xml:space="preserve">, being </w:t>
      </w:r>
      <w:r w:rsidR="00A2473B">
        <w:t xml:space="preserve">also </w:t>
      </w:r>
      <w:r w:rsidR="004E148D">
        <w:t>argued as the</w:t>
      </w:r>
      <w:bookmarkStart w:id="0" w:name="_GoBack"/>
      <w:bookmarkEnd w:id="0"/>
      <w:r w:rsidR="00D134E3">
        <w:t xml:space="preserve"> </w:t>
      </w:r>
      <w:r w:rsidR="00DC113D">
        <w:t xml:space="preserve">main driver </w:t>
      </w:r>
      <w:r w:rsidR="00D134E3">
        <w:t xml:space="preserve">for </w:t>
      </w:r>
      <w:r w:rsidR="00D134E3" w:rsidRPr="00D134E3">
        <w:t xml:space="preserve">increasement </w:t>
      </w:r>
      <w:r w:rsidR="00D134E3" w:rsidRPr="00456BD6">
        <w:t>of the</w:t>
      </w:r>
      <w:r w:rsidR="00D134E3">
        <w:t xml:space="preserve"> </w:t>
      </w:r>
      <w:r w:rsidR="00A2473B" w:rsidRPr="00A2473B">
        <w:t xml:space="preserve">blood–brain </w:t>
      </w:r>
      <w:r w:rsidR="00D134E3">
        <w:t xml:space="preserve">barrier permeability </w:t>
      </w:r>
      <w:r w:rsidR="00A2473B">
        <w:rPr>
          <w:color w:val="000000"/>
          <w:shd w:val="clear" w:color="auto" w:fill="FFFFFF"/>
        </w:rPr>
        <w:t xml:space="preserve">and </w:t>
      </w:r>
      <w:r w:rsidR="00D134E3">
        <w:t>formation of the peri-</w:t>
      </w:r>
      <w:proofErr w:type="spellStart"/>
      <w:r w:rsidR="00D134E3">
        <w:t>hematomal</w:t>
      </w:r>
      <w:proofErr w:type="spellEnd"/>
      <w:r w:rsidR="00D134E3">
        <w:t xml:space="preserve"> edema</w:t>
      </w:r>
      <w:r w:rsidR="00D134E3">
        <w:t>. E</w:t>
      </w:r>
      <w:r w:rsidR="00D134E3">
        <w:t xml:space="preserve">levated </w:t>
      </w:r>
      <w:r w:rsidR="00A2473B">
        <w:t xml:space="preserve">perihematomal </w:t>
      </w:r>
      <w:r w:rsidR="00D134E3">
        <w:t>glutamate-induced</w:t>
      </w:r>
      <w:r w:rsidR="00D134E3">
        <w:t xml:space="preserve"> </w:t>
      </w:r>
      <w:r w:rsidR="00D134E3">
        <w:t>excitotoxicity</w:t>
      </w:r>
      <w:r w:rsidR="00A2473B">
        <w:t xml:space="preserve"> have also been </w:t>
      </w:r>
      <w:r w:rsidR="00A2473B" w:rsidRPr="00A2473B">
        <w:t xml:space="preserve">associated with the blood–brain barrier disruption </w:t>
      </w:r>
      <w:r w:rsidR="00A2473B">
        <w:t xml:space="preserve">and </w:t>
      </w:r>
      <w:r w:rsidR="00A2473B">
        <w:rPr>
          <w:color w:val="000000"/>
          <w:shd w:val="clear" w:color="auto" w:fill="FFFFFF"/>
        </w:rPr>
        <w:t>neuronal death</w:t>
      </w:r>
      <w:r w:rsidR="00A2473B">
        <w:rPr>
          <w:color w:val="000000"/>
          <w:shd w:val="clear" w:color="auto" w:fill="FFFFFF"/>
        </w:rPr>
        <w:t xml:space="preserve">, </w:t>
      </w:r>
      <w:r w:rsidR="00D134E3">
        <w:t>severely affect</w:t>
      </w:r>
      <w:r w:rsidR="00A2473B">
        <w:t>ing</w:t>
      </w:r>
      <w:r w:rsidR="00D134E3">
        <w:t xml:space="preserve"> patient prognosis</w:t>
      </w:r>
      <w:r w:rsidR="00A2473B">
        <w:t>.</w:t>
      </w:r>
      <w:r w:rsidR="00D134E3">
        <w:t xml:space="preserve"> </w:t>
      </w:r>
      <w:r>
        <w:t xml:space="preserve">In this lecture, we discuss the </w:t>
      </w:r>
      <w:r w:rsidR="006031E5">
        <w:t xml:space="preserve">results from our working group which support the idea that </w:t>
      </w:r>
      <w:r w:rsidR="008E3182">
        <w:t>peripheral</w:t>
      </w:r>
      <w:r>
        <w:t xml:space="preserve"> TNF-</w:t>
      </w:r>
      <w:r>
        <w:rPr>
          <w:rFonts w:cstheme="minorHAnsi"/>
        </w:rPr>
        <w:t>α</w:t>
      </w:r>
      <w:r>
        <w:t xml:space="preserve"> and glutamate </w:t>
      </w:r>
      <w:r w:rsidR="008E3182">
        <w:t xml:space="preserve">levels can reflect CNS </w:t>
      </w:r>
      <w:r>
        <w:t>inflammation and excitotoxicity</w:t>
      </w:r>
      <w:r w:rsidR="008E3182">
        <w:t xml:space="preserve"> following ICH</w:t>
      </w:r>
      <w:r>
        <w:t>, as well as their utility</w:t>
      </w:r>
      <w:r w:rsidR="0055728D">
        <w:t xml:space="preserve"> </w:t>
      </w:r>
      <w:r w:rsidR="004E148D">
        <w:t xml:space="preserve">as biomarkers </w:t>
      </w:r>
      <w:r w:rsidR="0055728D">
        <w:t>for prognostication and</w:t>
      </w:r>
      <w:r>
        <w:t xml:space="preserve"> clinical decision making between conservative or surgical treatment in patients with ICH.</w:t>
      </w:r>
    </w:p>
    <w:sectPr w:rsidR="00A272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1E"/>
    <w:rsid w:val="00456BD6"/>
    <w:rsid w:val="004E148D"/>
    <w:rsid w:val="0055728D"/>
    <w:rsid w:val="00557D40"/>
    <w:rsid w:val="006031E5"/>
    <w:rsid w:val="00770C1E"/>
    <w:rsid w:val="008E3182"/>
    <w:rsid w:val="00A2473B"/>
    <w:rsid w:val="00A27201"/>
    <w:rsid w:val="00CF0211"/>
    <w:rsid w:val="00D134E3"/>
    <w:rsid w:val="00DC113D"/>
    <w:rsid w:val="00E8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3F3C7"/>
  <w15:chartTrackingRefBased/>
  <w15:docId w15:val="{9043DE64-7F7B-41CE-ADB5-97BCAE72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Aleksovski</dc:creator>
  <cp:keywords/>
  <dc:description/>
  <cp:lastModifiedBy>Boris Aleksovski</cp:lastModifiedBy>
  <cp:revision>6</cp:revision>
  <dcterms:created xsi:type="dcterms:W3CDTF">2018-04-05T19:00:00Z</dcterms:created>
  <dcterms:modified xsi:type="dcterms:W3CDTF">2018-04-10T17:13:00Z</dcterms:modified>
</cp:coreProperties>
</file>