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9D2" w:rsidRPr="00B679D2" w:rsidRDefault="00B679D2" w:rsidP="00E14CF1">
      <w:pPr>
        <w:spacing w:after="0" w:line="240" w:lineRule="auto"/>
        <w:jc w:val="both"/>
        <w:rPr>
          <w:rFonts w:ascii="Tw Cen MT" w:eastAsia="Times New Roman" w:hAnsi="Tw Cen MT" w:cs="Times New Roman"/>
          <w:sz w:val="18"/>
          <w:szCs w:val="18"/>
        </w:rPr>
      </w:pPr>
      <w:r w:rsidRPr="00B679D2">
        <w:rPr>
          <w:rFonts w:ascii="Tw Cen MT" w:eastAsia="Times New Roman" w:hAnsi="Tw Cen MT" w:cs="Times New Roman"/>
          <w:sz w:val="18"/>
          <w:szCs w:val="18"/>
        </w:rPr>
        <w:pict>
          <v:rect id="_x0000_i1025" style="width:0;height:1.5pt" o:hralign="center" o:hrstd="t" o:hr="t" fillcolor="#a0a0a0" stroked="f"/>
        </w:pict>
      </w:r>
    </w:p>
    <w:p w:rsidR="00B679D2" w:rsidRPr="00E14CF1" w:rsidRDefault="00B679D2" w:rsidP="00E14CF1">
      <w:pPr>
        <w:spacing w:before="100" w:beforeAutospacing="1" w:after="100" w:afterAutospacing="1" w:line="240" w:lineRule="auto"/>
        <w:jc w:val="both"/>
        <w:outlineLvl w:val="1"/>
        <w:rPr>
          <w:rFonts w:ascii="Tw Cen MT" w:eastAsia="Times New Roman" w:hAnsi="Tw Cen MT" w:cs="Times New Roman"/>
          <w:b/>
          <w:bCs/>
          <w:color w:val="2E74B5" w:themeColor="accent1" w:themeShade="BF"/>
          <w:sz w:val="36"/>
          <w:szCs w:val="36"/>
        </w:rPr>
      </w:pPr>
      <w:r w:rsidRPr="00E14CF1">
        <w:rPr>
          <w:rFonts w:ascii="Tw Cen MT" w:eastAsia="Times New Roman" w:hAnsi="Tw Cen MT" w:cs="Times New Roman"/>
          <w:b/>
          <w:bCs/>
          <w:color w:val="2E74B5" w:themeColor="accent1" w:themeShade="BF"/>
          <w:sz w:val="36"/>
          <w:szCs w:val="36"/>
        </w:rPr>
        <w:t xml:space="preserve">Design and Evaluation of the Effectiveness of a 3D-Printed </w:t>
      </w:r>
      <w:proofErr w:type="spellStart"/>
      <w:r w:rsidRPr="00E14CF1">
        <w:rPr>
          <w:rFonts w:ascii="Tw Cen MT" w:eastAsia="Times New Roman" w:hAnsi="Tw Cen MT" w:cs="Times New Roman"/>
          <w:b/>
          <w:bCs/>
          <w:color w:val="2E74B5" w:themeColor="accent1" w:themeShade="BF"/>
          <w:sz w:val="36"/>
          <w:szCs w:val="36"/>
        </w:rPr>
        <w:t>Bioscaffold</w:t>
      </w:r>
      <w:proofErr w:type="spellEnd"/>
      <w:r w:rsidRPr="00E14CF1">
        <w:rPr>
          <w:rFonts w:ascii="Tw Cen MT" w:eastAsia="Times New Roman" w:hAnsi="Tw Cen MT" w:cs="Times New Roman"/>
          <w:b/>
          <w:bCs/>
          <w:color w:val="2E74B5" w:themeColor="accent1" w:themeShade="BF"/>
          <w:sz w:val="36"/>
          <w:szCs w:val="36"/>
        </w:rPr>
        <w:t xml:space="preserve"> with Stem Cells in the Reconstruction of Jaw Bone Defects </w:t>
      </w:r>
      <w:proofErr w:type="gramStart"/>
      <w:r w:rsidRPr="00E14CF1">
        <w:rPr>
          <w:rFonts w:ascii="Tw Cen MT" w:eastAsia="Times New Roman" w:hAnsi="Tw Cen MT" w:cs="Times New Roman"/>
          <w:b/>
          <w:bCs/>
          <w:color w:val="2E74B5" w:themeColor="accent1" w:themeShade="BF"/>
          <w:sz w:val="36"/>
          <w:szCs w:val="36"/>
        </w:rPr>
        <w:t>After</w:t>
      </w:r>
      <w:proofErr w:type="gramEnd"/>
      <w:r w:rsidRPr="00E14CF1">
        <w:rPr>
          <w:rFonts w:ascii="Tw Cen MT" w:eastAsia="Times New Roman" w:hAnsi="Tw Cen MT" w:cs="Times New Roman"/>
          <w:b/>
          <w:bCs/>
          <w:color w:val="2E74B5" w:themeColor="accent1" w:themeShade="BF"/>
          <w:sz w:val="36"/>
          <w:szCs w:val="36"/>
        </w:rPr>
        <w:t xml:space="preserve"> Lesion Removal</w:t>
      </w:r>
    </w:p>
    <w:p w:rsidR="00E14CF1" w:rsidRDefault="00E14CF1" w:rsidP="00E14CF1">
      <w:pPr>
        <w:spacing w:before="100" w:beforeAutospacing="1" w:after="100" w:afterAutospacing="1" w:line="240" w:lineRule="auto"/>
        <w:jc w:val="both"/>
        <w:outlineLvl w:val="1"/>
        <w:rPr>
          <w:rFonts w:ascii="Tw Cen MT" w:eastAsia="Times New Roman" w:hAnsi="Tw Cen MT" w:cs="Times New Roman"/>
          <w:b/>
          <w:bCs/>
          <w:color w:val="2E74B5" w:themeColor="accent1" w:themeShade="BF"/>
          <w:sz w:val="18"/>
          <w:szCs w:val="18"/>
        </w:rPr>
      </w:pPr>
    </w:p>
    <w:p w:rsidR="00001661" w:rsidRDefault="00001661" w:rsidP="00E14CF1">
      <w:pPr>
        <w:spacing w:before="100" w:beforeAutospacing="1" w:after="100" w:afterAutospacing="1" w:line="240" w:lineRule="auto"/>
        <w:jc w:val="both"/>
        <w:outlineLvl w:val="1"/>
        <w:rPr>
          <w:rFonts w:ascii="Tw Cen MT" w:eastAsia="Calibri" w:hAnsi="Tw Cen MT" w:cs="Times New Roman"/>
          <w:b/>
          <w:bCs/>
          <w:color w:val="2E74B5" w:themeColor="accent1" w:themeShade="BF"/>
          <w:sz w:val="18"/>
          <w:szCs w:val="18"/>
        </w:rPr>
      </w:pPr>
      <w:r>
        <w:rPr>
          <w:rFonts w:ascii="Tw Cen MT" w:eastAsia="Times New Roman" w:hAnsi="Tw Cen MT" w:cs="Times New Roman"/>
          <w:b/>
          <w:bCs/>
          <w:color w:val="2E74B5" w:themeColor="accent1" w:themeShade="BF"/>
          <w:sz w:val="18"/>
          <w:szCs w:val="18"/>
        </w:rPr>
        <w:t xml:space="preserve">DR </w:t>
      </w:r>
      <w:proofErr w:type="spellStart"/>
      <w:r>
        <w:rPr>
          <w:rFonts w:ascii="Tw Cen MT" w:eastAsia="Times New Roman" w:hAnsi="Tw Cen MT" w:cs="Times New Roman"/>
          <w:b/>
          <w:bCs/>
          <w:color w:val="2E74B5" w:themeColor="accent1" w:themeShade="BF"/>
          <w:sz w:val="18"/>
          <w:szCs w:val="18"/>
        </w:rPr>
        <w:t>Eisa</w:t>
      </w:r>
      <w:proofErr w:type="spellEnd"/>
      <w:r>
        <w:rPr>
          <w:rFonts w:ascii="Tw Cen MT" w:eastAsia="Times New Roman" w:hAnsi="Tw Cen MT" w:cs="Times New Roman"/>
          <w:b/>
          <w:bCs/>
          <w:color w:val="2E74B5" w:themeColor="accent1" w:themeShade="BF"/>
          <w:sz w:val="18"/>
          <w:szCs w:val="18"/>
        </w:rPr>
        <w:t xml:space="preserve"> </w:t>
      </w:r>
      <w:proofErr w:type="spellStart"/>
      <w:r>
        <w:rPr>
          <w:rFonts w:ascii="Tw Cen MT" w:eastAsia="Times New Roman" w:hAnsi="Tw Cen MT" w:cs="Times New Roman"/>
          <w:b/>
          <w:bCs/>
          <w:color w:val="2E74B5" w:themeColor="accent1" w:themeShade="BF"/>
          <w:sz w:val="18"/>
          <w:szCs w:val="18"/>
        </w:rPr>
        <w:t>balazad</w:t>
      </w:r>
      <w:r w:rsidR="00EF5CE9">
        <w:rPr>
          <w:rFonts w:ascii="Tw Cen MT" w:eastAsia="Times New Roman" w:hAnsi="Tw Cen MT" w:cs="Times New Roman"/>
          <w:b/>
          <w:bCs/>
          <w:color w:val="2E74B5" w:themeColor="accent1" w:themeShade="BF"/>
          <w:sz w:val="18"/>
          <w:szCs w:val="18"/>
        </w:rPr>
        <w:t>eh</w:t>
      </w:r>
      <w:proofErr w:type="spellEnd"/>
      <w:r w:rsidR="00EF5CE9">
        <w:rPr>
          <w:rFonts w:ascii="Tw Cen MT" w:eastAsia="Times New Roman" w:hAnsi="Tw Cen MT" w:cs="Times New Roman"/>
          <w:b/>
          <w:bCs/>
          <w:color w:val="2E74B5" w:themeColor="accent1" w:themeShade="BF"/>
          <w:sz w:val="18"/>
          <w:szCs w:val="18"/>
        </w:rPr>
        <w:t xml:space="preserve"> </w:t>
      </w:r>
      <w:proofErr w:type="spellStart"/>
      <w:r w:rsidR="00EF5CE9">
        <w:rPr>
          <w:rFonts w:ascii="Tw Cen MT" w:eastAsia="Times New Roman" w:hAnsi="Tw Cen MT" w:cs="Times New Roman"/>
          <w:b/>
          <w:bCs/>
          <w:color w:val="2E74B5" w:themeColor="accent1" w:themeShade="BF"/>
          <w:sz w:val="18"/>
          <w:szCs w:val="18"/>
        </w:rPr>
        <w:t>Arallouy</w:t>
      </w:r>
      <w:proofErr w:type="spellEnd"/>
      <w:r w:rsidR="00EF5CE9">
        <w:rPr>
          <w:rFonts w:ascii="Tw Cen MT" w:eastAsia="Times New Roman" w:hAnsi="Tw Cen MT" w:cs="Times New Roman"/>
          <w:b/>
          <w:bCs/>
          <w:color w:val="2E74B5" w:themeColor="accent1" w:themeShade="BF"/>
          <w:sz w:val="18"/>
          <w:szCs w:val="18"/>
        </w:rPr>
        <w:t xml:space="preserve"> </w:t>
      </w:r>
      <w:proofErr w:type="spellStart"/>
      <w:proofErr w:type="gramStart"/>
      <w:r w:rsidR="00EF5CE9">
        <w:rPr>
          <w:rFonts w:ascii="Tw Cen MT" w:eastAsia="Times New Roman" w:hAnsi="Tw Cen MT" w:cs="Times New Roman"/>
          <w:b/>
          <w:bCs/>
          <w:color w:val="2E74B5" w:themeColor="accent1" w:themeShade="BF"/>
          <w:sz w:val="18"/>
          <w:szCs w:val="18"/>
        </w:rPr>
        <w:t>kouchak</w:t>
      </w:r>
      <w:proofErr w:type="spellEnd"/>
      <w:r>
        <w:rPr>
          <w:rFonts w:ascii="Tw Cen MT" w:eastAsia="Times New Roman" w:hAnsi="Tw Cen MT" w:cs="Times New Roman"/>
          <w:b/>
          <w:bCs/>
          <w:color w:val="2E74B5" w:themeColor="accent1" w:themeShade="BF"/>
          <w:sz w:val="18"/>
          <w:szCs w:val="18"/>
        </w:rPr>
        <w:t xml:space="preserve"> .</w:t>
      </w:r>
      <w:proofErr w:type="gramEnd"/>
      <w:r>
        <w:rPr>
          <w:rFonts w:ascii="Tw Cen MT" w:eastAsia="Times New Roman" w:hAnsi="Tw Cen MT" w:cs="Times New Roman"/>
          <w:b/>
          <w:bCs/>
          <w:color w:val="2E74B5" w:themeColor="accent1" w:themeShade="BF"/>
          <w:sz w:val="18"/>
          <w:szCs w:val="18"/>
        </w:rPr>
        <w:t xml:space="preserve"> </w:t>
      </w:r>
      <w:r w:rsidRPr="00001661">
        <w:rPr>
          <w:rFonts w:ascii="Tw Cen MT" w:eastAsia="Times New Roman" w:hAnsi="Tw Cen MT" w:cs="Times New Roman"/>
          <w:b/>
          <w:bCs/>
          <w:color w:val="2E74B5" w:themeColor="accent1" w:themeShade="BF"/>
          <w:sz w:val="18"/>
          <w:szCs w:val="18"/>
        </w:rPr>
        <w:t xml:space="preserve">PhD student in dentistry, </w:t>
      </w:r>
      <w:r w:rsidRPr="00001661">
        <w:rPr>
          <w:rFonts w:ascii="Tw Cen MT" w:eastAsia="Calibri" w:hAnsi="Tw Cen MT" w:cs="Times New Roman"/>
          <w:b/>
          <w:bCs/>
          <w:color w:val="2E74B5" w:themeColor="accent1" w:themeShade="BF"/>
          <w:sz w:val="18"/>
          <w:szCs w:val="18"/>
        </w:rPr>
        <w:t>Azerbaijan Medical University</w:t>
      </w:r>
    </w:p>
    <w:p w:rsidR="00001661" w:rsidRPr="00B679D2" w:rsidRDefault="00001661" w:rsidP="00E14CF1">
      <w:pPr>
        <w:spacing w:before="100" w:beforeAutospacing="1" w:after="100" w:afterAutospacing="1" w:line="240" w:lineRule="auto"/>
        <w:jc w:val="both"/>
        <w:outlineLvl w:val="1"/>
        <w:rPr>
          <w:rFonts w:ascii="Tw Cen MT" w:eastAsia="Calibri" w:hAnsi="Tw Cen MT" w:cs="Times New Roman"/>
          <w:b/>
          <w:bCs/>
          <w:color w:val="2E74B5" w:themeColor="accent1" w:themeShade="BF"/>
          <w:sz w:val="18"/>
          <w:szCs w:val="18"/>
        </w:rPr>
      </w:pPr>
      <w:r>
        <w:rPr>
          <w:rFonts w:ascii="Tw Cen MT" w:eastAsia="Calibri" w:hAnsi="Tw Cen MT" w:cs="Times New Roman"/>
          <w:b/>
          <w:bCs/>
          <w:color w:val="2E74B5" w:themeColor="accent1" w:themeShade="BF"/>
          <w:sz w:val="18"/>
          <w:szCs w:val="18"/>
        </w:rPr>
        <w:t xml:space="preserve">DR </w:t>
      </w:r>
      <w:proofErr w:type="spellStart"/>
      <w:r w:rsidRPr="00001661">
        <w:rPr>
          <w:rFonts w:ascii="Tw Cen MT" w:hAnsi="Tw Cen MT" w:cs="Arial"/>
          <w:b/>
          <w:bCs/>
          <w:color w:val="2E74B5" w:themeColor="accent1" w:themeShade="BF"/>
          <w:sz w:val="18"/>
          <w:szCs w:val="18"/>
          <w:shd w:val="clear" w:color="auto" w:fill="FFFFFF"/>
        </w:rPr>
        <w:t>Hanife</w:t>
      </w:r>
      <w:proofErr w:type="spellEnd"/>
      <w:r w:rsidRPr="00001661">
        <w:rPr>
          <w:rFonts w:ascii="Tw Cen MT" w:hAnsi="Tw Cen MT" w:cs="Arial"/>
          <w:b/>
          <w:bCs/>
          <w:color w:val="2E74B5" w:themeColor="accent1" w:themeShade="BF"/>
          <w:sz w:val="18"/>
          <w:szCs w:val="18"/>
          <w:shd w:val="clear" w:color="auto" w:fill="FFFFFF"/>
        </w:rPr>
        <w:t xml:space="preserve"> </w:t>
      </w:r>
      <w:proofErr w:type="spellStart"/>
      <w:r w:rsidRPr="00001661">
        <w:rPr>
          <w:rFonts w:ascii="Tw Cen MT" w:hAnsi="Tw Cen MT" w:cs="Arial"/>
          <w:b/>
          <w:bCs/>
          <w:color w:val="2E74B5" w:themeColor="accent1" w:themeShade="BF"/>
          <w:sz w:val="18"/>
          <w:szCs w:val="18"/>
          <w:shd w:val="clear" w:color="auto" w:fill="FFFFFF"/>
        </w:rPr>
        <w:t>Musayeva</w:t>
      </w:r>
      <w:proofErr w:type="spellEnd"/>
      <w:r>
        <w:rPr>
          <w:rFonts w:ascii="Tw Cen MT" w:hAnsi="Tw Cen MT" w:cs="Arial"/>
          <w:b/>
          <w:bCs/>
          <w:color w:val="2E74B5" w:themeColor="accent1" w:themeShade="BF"/>
          <w:sz w:val="18"/>
          <w:szCs w:val="18"/>
          <w:shd w:val="clear" w:color="auto" w:fill="FFFFFF"/>
        </w:rPr>
        <w:t xml:space="preserve"> </w:t>
      </w:r>
      <w:proofErr w:type="spellStart"/>
      <w:proofErr w:type="gramStart"/>
      <w:r w:rsidR="00085EEE">
        <w:rPr>
          <w:rFonts w:ascii="Tw Cen MT" w:hAnsi="Tw Cen MT" w:cs="Arial"/>
          <w:b/>
          <w:bCs/>
          <w:color w:val="2E74B5" w:themeColor="accent1" w:themeShade="BF"/>
          <w:sz w:val="18"/>
          <w:szCs w:val="18"/>
          <w:shd w:val="clear" w:color="auto" w:fill="FFFFFF"/>
        </w:rPr>
        <w:t>dosent</w:t>
      </w:r>
      <w:proofErr w:type="spellEnd"/>
      <w:r w:rsidR="00085EEE">
        <w:rPr>
          <w:rFonts w:ascii="Tw Cen MT" w:hAnsi="Tw Cen MT" w:cs="Arial"/>
          <w:b/>
          <w:bCs/>
          <w:color w:val="2E74B5" w:themeColor="accent1" w:themeShade="BF"/>
          <w:sz w:val="18"/>
          <w:szCs w:val="18"/>
          <w:shd w:val="clear" w:color="auto" w:fill="FFFFFF"/>
        </w:rPr>
        <w:t xml:space="preserve"> ,</w:t>
      </w:r>
      <w:proofErr w:type="gramEnd"/>
      <w:r w:rsidR="00085EEE">
        <w:rPr>
          <w:rFonts w:ascii="Tw Cen MT" w:hAnsi="Tw Cen MT" w:cs="Arial"/>
          <w:b/>
          <w:bCs/>
          <w:color w:val="2E74B5" w:themeColor="accent1" w:themeShade="BF"/>
          <w:sz w:val="18"/>
          <w:szCs w:val="18"/>
          <w:shd w:val="clear" w:color="auto" w:fill="FFFFFF"/>
        </w:rPr>
        <w:t xml:space="preserve"> </w:t>
      </w:r>
      <w:r w:rsidR="00085EEE" w:rsidRPr="00001661">
        <w:rPr>
          <w:rFonts w:ascii="Tw Cen MT" w:eastAsia="Calibri" w:hAnsi="Tw Cen MT" w:cs="Times New Roman"/>
          <w:b/>
          <w:bCs/>
          <w:color w:val="2E74B5" w:themeColor="accent1" w:themeShade="BF"/>
          <w:sz w:val="18"/>
          <w:szCs w:val="18"/>
        </w:rPr>
        <w:t>Azerbaijan Medical University</w:t>
      </w:r>
    </w:p>
    <w:p w:rsidR="00E14CF1" w:rsidRDefault="00B679D2" w:rsidP="004E3C51">
      <w:pPr>
        <w:spacing w:before="100" w:beforeAutospacing="1" w:after="100" w:afterAutospacing="1" w:line="240" w:lineRule="auto"/>
        <w:jc w:val="both"/>
        <w:rPr>
          <w:rFonts w:ascii="Tw Cen MT" w:eastAsia="Times New Roman" w:hAnsi="Tw Cen MT" w:cs="Times New Roman"/>
          <w:sz w:val="18"/>
          <w:szCs w:val="18"/>
        </w:rPr>
      </w:pPr>
      <w:r w:rsidRPr="00B679D2">
        <w:rPr>
          <w:rFonts w:ascii="Tw Cen MT" w:eastAsia="Times New Roman" w:hAnsi="Tw Cen MT" w:cs="Times New Roman"/>
          <w:sz w:val="18"/>
          <w:szCs w:val="18"/>
        </w:rPr>
        <w:t xml:space="preserve">Reconstruction of jaw bone defects following cystic or </w:t>
      </w:r>
      <w:proofErr w:type="spellStart"/>
      <w:r w:rsidRPr="00B679D2">
        <w:rPr>
          <w:rFonts w:ascii="Tw Cen MT" w:eastAsia="Times New Roman" w:hAnsi="Tw Cen MT" w:cs="Times New Roman"/>
          <w:sz w:val="18"/>
          <w:szCs w:val="18"/>
        </w:rPr>
        <w:t>tumoral</w:t>
      </w:r>
      <w:proofErr w:type="spellEnd"/>
      <w:r w:rsidRPr="00B679D2">
        <w:rPr>
          <w:rFonts w:ascii="Tw Cen MT" w:eastAsia="Times New Roman" w:hAnsi="Tw Cen MT" w:cs="Times New Roman"/>
          <w:sz w:val="18"/>
          <w:szCs w:val="18"/>
        </w:rPr>
        <w:t xml:space="preserve"> lesion removal remains a major challenge in oral and maxillofacial surgery. Although </w:t>
      </w:r>
      <w:proofErr w:type="spellStart"/>
      <w:r w:rsidRPr="00B679D2">
        <w:rPr>
          <w:rFonts w:ascii="Tw Cen MT" w:eastAsia="Times New Roman" w:hAnsi="Tw Cen MT" w:cs="Times New Roman"/>
          <w:sz w:val="18"/>
          <w:szCs w:val="18"/>
        </w:rPr>
        <w:t>autogenous</w:t>
      </w:r>
      <w:proofErr w:type="spellEnd"/>
      <w:r w:rsidRPr="00B679D2">
        <w:rPr>
          <w:rFonts w:ascii="Tw Cen MT" w:eastAsia="Times New Roman" w:hAnsi="Tw Cen MT" w:cs="Times New Roman"/>
          <w:sz w:val="18"/>
          <w:szCs w:val="18"/>
        </w:rPr>
        <w:t xml:space="preserve"> bone grafting is considered the gold standard, it is associated with donor-site morbidity, limited graft availability, prolonged surgical time, and unpredictable </w:t>
      </w:r>
      <w:proofErr w:type="spellStart"/>
      <w:r w:rsidRPr="00B679D2">
        <w:rPr>
          <w:rFonts w:ascii="Tw Cen MT" w:eastAsia="Times New Roman" w:hAnsi="Tw Cen MT" w:cs="Times New Roman"/>
          <w:sz w:val="18"/>
          <w:szCs w:val="18"/>
        </w:rPr>
        <w:t>resorption</w:t>
      </w:r>
      <w:proofErr w:type="spellEnd"/>
      <w:r w:rsidRPr="00B679D2">
        <w:rPr>
          <w:rFonts w:ascii="Tw Cen MT" w:eastAsia="Times New Roman" w:hAnsi="Tw Cen MT" w:cs="Times New Roman"/>
          <w:sz w:val="18"/>
          <w:szCs w:val="18"/>
        </w:rPr>
        <w:t xml:space="preserve">. Advances in regenerative medicine and additive manufacturing have enabled the development of patient-specific three-dimensional (3D) printed </w:t>
      </w:r>
      <w:proofErr w:type="spellStart"/>
      <w:r w:rsidRPr="00B679D2">
        <w:rPr>
          <w:rFonts w:ascii="Tw Cen MT" w:eastAsia="Times New Roman" w:hAnsi="Tw Cen MT" w:cs="Times New Roman"/>
          <w:sz w:val="18"/>
          <w:szCs w:val="18"/>
        </w:rPr>
        <w:t>bioscaffolds</w:t>
      </w:r>
      <w:proofErr w:type="spellEnd"/>
      <w:r w:rsidRPr="00B679D2">
        <w:rPr>
          <w:rFonts w:ascii="Tw Cen MT" w:eastAsia="Times New Roman" w:hAnsi="Tw Cen MT" w:cs="Times New Roman"/>
          <w:sz w:val="18"/>
          <w:szCs w:val="18"/>
        </w:rPr>
        <w:t xml:space="preserve"> combined with mesenchymal stem cells (MSCs) as a promising alternative for craniofacial bone regeneration. This study aimed to design and evaluate the biological and mechanical effectiveness of a 3D-printed composite </w:t>
      </w:r>
      <w:proofErr w:type="spellStart"/>
      <w:r w:rsidRPr="00B679D2">
        <w:rPr>
          <w:rFonts w:ascii="Tw Cen MT" w:eastAsia="Times New Roman" w:hAnsi="Tw Cen MT" w:cs="Times New Roman"/>
          <w:sz w:val="18"/>
          <w:szCs w:val="18"/>
        </w:rPr>
        <w:t>bioscaffold</w:t>
      </w:r>
      <w:proofErr w:type="spellEnd"/>
      <w:r w:rsidRPr="00B679D2">
        <w:rPr>
          <w:rFonts w:ascii="Tw Cen MT" w:eastAsia="Times New Roman" w:hAnsi="Tw Cen MT" w:cs="Times New Roman"/>
          <w:sz w:val="18"/>
          <w:szCs w:val="18"/>
        </w:rPr>
        <w:t xml:space="preserve"> seeded with MSCs for reconstruction of mandibular defects after lesion removal. Cone-beam computed tomography data were used to generate a customized scaffold model with controlled porosity and interconnected pore architecture. The scaffold was fabricated using a layer-by-layer additive manufacturing technique with a biodegradable </w:t>
      </w:r>
      <w:proofErr w:type="spellStart"/>
      <w:r w:rsidRPr="00B679D2">
        <w:rPr>
          <w:rFonts w:ascii="Tw Cen MT" w:eastAsia="Times New Roman" w:hAnsi="Tw Cen MT" w:cs="Times New Roman"/>
          <w:sz w:val="18"/>
          <w:szCs w:val="18"/>
        </w:rPr>
        <w:t>bioceramic</w:t>
      </w:r>
      <w:proofErr w:type="spellEnd"/>
      <w:r w:rsidRPr="00B679D2">
        <w:rPr>
          <w:rFonts w:ascii="Tw Cen MT" w:eastAsia="Times New Roman" w:hAnsi="Tw Cen MT" w:cs="Times New Roman"/>
          <w:sz w:val="18"/>
          <w:szCs w:val="18"/>
        </w:rPr>
        <w:t xml:space="preserve">/polymer composite to ensure structural stability and </w:t>
      </w:r>
      <w:proofErr w:type="spellStart"/>
      <w:r w:rsidRPr="00B679D2">
        <w:rPr>
          <w:rFonts w:ascii="Tw Cen MT" w:eastAsia="Times New Roman" w:hAnsi="Tw Cen MT" w:cs="Times New Roman"/>
          <w:sz w:val="18"/>
          <w:szCs w:val="18"/>
        </w:rPr>
        <w:t>osteoconductive</w:t>
      </w:r>
      <w:proofErr w:type="spellEnd"/>
      <w:r w:rsidRPr="00B679D2">
        <w:rPr>
          <w:rFonts w:ascii="Tw Cen MT" w:eastAsia="Times New Roman" w:hAnsi="Tw Cen MT" w:cs="Times New Roman"/>
          <w:sz w:val="18"/>
          <w:szCs w:val="18"/>
        </w:rPr>
        <w:t xml:space="preserve"> properties. Human mesenchymal stem cells were isolated, expanded, and cultured under </w:t>
      </w:r>
      <w:proofErr w:type="spellStart"/>
      <w:r w:rsidRPr="00B679D2">
        <w:rPr>
          <w:rFonts w:ascii="Tw Cen MT" w:eastAsia="Times New Roman" w:hAnsi="Tw Cen MT" w:cs="Times New Roman"/>
          <w:sz w:val="18"/>
          <w:szCs w:val="18"/>
        </w:rPr>
        <w:t>osteogenic</w:t>
      </w:r>
      <w:proofErr w:type="spellEnd"/>
      <w:r w:rsidRPr="00B679D2">
        <w:rPr>
          <w:rFonts w:ascii="Tw Cen MT" w:eastAsia="Times New Roman" w:hAnsi="Tw Cen MT" w:cs="Times New Roman"/>
          <w:sz w:val="18"/>
          <w:szCs w:val="18"/>
        </w:rPr>
        <w:t xml:space="preserve"> differentiation conditions before being seeded onto the scaffold. In vitro analyses included assessment of cell viability, adhesion, proliferation, alkaline phosphatase activity, and calcium deposition. Mechanical properties were evaluated using compressive strength testing. In a preclinical defect model, radiographic and histological analyses were performed to assess new bone formation and integration with native tissue. Results demonstrated high biocompatibility, enhanced </w:t>
      </w:r>
      <w:proofErr w:type="spellStart"/>
      <w:r w:rsidRPr="00B679D2">
        <w:rPr>
          <w:rFonts w:ascii="Tw Cen MT" w:eastAsia="Times New Roman" w:hAnsi="Tw Cen MT" w:cs="Times New Roman"/>
          <w:sz w:val="18"/>
          <w:szCs w:val="18"/>
        </w:rPr>
        <w:t>osteogenic</w:t>
      </w:r>
      <w:proofErr w:type="spellEnd"/>
      <w:r w:rsidRPr="00B679D2">
        <w:rPr>
          <w:rFonts w:ascii="Tw Cen MT" w:eastAsia="Times New Roman" w:hAnsi="Tw Cen MT" w:cs="Times New Roman"/>
          <w:sz w:val="18"/>
          <w:szCs w:val="18"/>
        </w:rPr>
        <w:t xml:space="preserve"> differentiation, and significant mineralized matrix formation in the stem cell–loaded scaffolds compared with controls. Imaging findings confirmed improved vascularization and satisfactory structural integration within the defect site. Mechanical testing indicated adequate compressive strength compatible with mandibular functional demands. These findings suggest that 3D-printed stem cell–based </w:t>
      </w:r>
      <w:proofErr w:type="spellStart"/>
      <w:r w:rsidRPr="00B679D2">
        <w:rPr>
          <w:rFonts w:ascii="Tw Cen MT" w:eastAsia="Times New Roman" w:hAnsi="Tw Cen MT" w:cs="Times New Roman"/>
          <w:sz w:val="18"/>
          <w:szCs w:val="18"/>
        </w:rPr>
        <w:t>bioscaffolds</w:t>
      </w:r>
      <w:proofErr w:type="spellEnd"/>
      <w:r w:rsidRPr="00B679D2">
        <w:rPr>
          <w:rFonts w:ascii="Tw Cen MT" w:eastAsia="Times New Roman" w:hAnsi="Tw Cen MT" w:cs="Times New Roman"/>
          <w:sz w:val="18"/>
          <w:szCs w:val="18"/>
        </w:rPr>
        <w:t xml:space="preserve"> represent a viable and effective regenerative strategy for reconstruction of jaw bone defects, potentially reducing reliance on </w:t>
      </w:r>
      <w:proofErr w:type="spellStart"/>
      <w:r w:rsidRPr="00B679D2">
        <w:rPr>
          <w:rFonts w:ascii="Tw Cen MT" w:eastAsia="Times New Roman" w:hAnsi="Tw Cen MT" w:cs="Times New Roman"/>
          <w:sz w:val="18"/>
          <w:szCs w:val="18"/>
        </w:rPr>
        <w:t>autogenous</w:t>
      </w:r>
      <w:proofErr w:type="spellEnd"/>
      <w:r w:rsidRPr="00B679D2">
        <w:rPr>
          <w:rFonts w:ascii="Tw Cen MT" w:eastAsia="Times New Roman" w:hAnsi="Tw Cen MT" w:cs="Times New Roman"/>
          <w:sz w:val="18"/>
          <w:szCs w:val="18"/>
        </w:rPr>
        <w:t xml:space="preserve"> grafts and </w:t>
      </w:r>
    </w:p>
    <w:p w:rsidR="004E3C51" w:rsidRDefault="00E14CF1" w:rsidP="004E3C51">
      <w:pPr>
        <w:spacing w:before="100" w:beforeAutospacing="1" w:after="100" w:afterAutospacing="1" w:line="240" w:lineRule="auto"/>
        <w:jc w:val="both"/>
        <w:rPr>
          <w:rFonts w:ascii="Tw Cen MT" w:eastAsia="Times New Roman" w:hAnsi="Tw Cen MT" w:cs="Times New Roman"/>
          <w:sz w:val="18"/>
          <w:szCs w:val="18"/>
        </w:rPr>
      </w:pPr>
      <w:r>
        <w:rPr>
          <w:noProof/>
        </w:rPr>
        <w:lastRenderedPageBreak/>
        <w:drawing>
          <wp:inline distT="0" distB="0" distL="0" distR="0" wp14:anchorId="7366ABE3" wp14:editId="708361E6">
            <wp:extent cx="2743200" cy="1760855"/>
            <wp:effectExtent l="0" t="0" r="0" b="0"/>
            <wp:docPr id="11266" name="Picture 3" descr="ایکس ر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3" descr="ایکس ری.jpe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1760855"/>
                    </a:xfrm>
                    <a:prstGeom prst="rect">
                      <a:avLst/>
                    </a:prstGeom>
                    <a:noFill/>
                    <a:ln>
                      <a:noFill/>
                    </a:ln>
                    <a:extLst/>
                  </pic:spPr>
                </pic:pic>
              </a:graphicData>
            </a:graphic>
          </wp:inline>
        </w:drawing>
      </w:r>
      <w:r w:rsidR="004E3C51" w:rsidRPr="004E3C51">
        <w:rPr>
          <w:rFonts w:ascii="Tw Cen MT" w:eastAsia="Times New Roman" w:hAnsi="Tw Cen MT" w:cs="Times New Roman"/>
          <w:sz w:val="18"/>
          <w:szCs w:val="18"/>
        </w:rPr>
        <w:t>The model worked on the jaw but without the use of stem cells</w:t>
      </w:r>
    </w:p>
    <w:p w:rsidR="00E14CF1" w:rsidRDefault="00E14CF1" w:rsidP="00E14CF1">
      <w:pPr>
        <w:spacing w:before="100" w:beforeAutospacing="1" w:after="100" w:afterAutospacing="1" w:line="240" w:lineRule="auto"/>
        <w:jc w:val="both"/>
        <w:rPr>
          <w:rFonts w:ascii="Tw Cen MT" w:eastAsia="Times New Roman" w:hAnsi="Tw Cen MT" w:cs="Times New Roman"/>
          <w:sz w:val="18"/>
          <w:szCs w:val="18"/>
        </w:rPr>
      </w:pPr>
    </w:p>
    <w:p w:rsidR="00B679D2" w:rsidRPr="00B679D2" w:rsidRDefault="00B679D2" w:rsidP="00E14CF1">
      <w:pPr>
        <w:spacing w:before="100" w:beforeAutospacing="1" w:after="100" w:afterAutospacing="1" w:line="240" w:lineRule="auto"/>
        <w:jc w:val="both"/>
        <w:rPr>
          <w:rFonts w:ascii="Tw Cen MT" w:eastAsia="Times New Roman" w:hAnsi="Tw Cen MT" w:cs="Times New Roman"/>
          <w:sz w:val="18"/>
          <w:szCs w:val="18"/>
        </w:rPr>
      </w:pPr>
      <w:proofErr w:type="gramStart"/>
      <w:r w:rsidRPr="00B679D2">
        <w:rPr>
          <w:rFonts w:ascii="Tw Cen MT" w:eastAsia="Times New Roman" w:hAnsi="Tw Cen MT" w:cs="Times New Roman"/>
          <w:sz w:val="18"/>
          <w:szCs w:val="18"/>
        </w:rPr>
        <w:t>associated</w:t>
      </w:r>
      <w:proofErr w:type="gramEnd"/>
      <w:r w:rsidRPr="00B679D2">
        <w:rPr>
          <w:rFonts w:ascii="Tw Cen MT" w:eastAsia="Times New Roman" w:hAnsi="Tw Cen MT" w:cs="Times New Roman"/>
          <w:sz w:val="18"/>
          <w:szCs w:val="18"/>
        </w:rPr>
        <w:t xml:space="preserve"> complications. Further long-term clinical studies are warranted to validate safety and translational applicability.</w:t>
      </w:r>
    </w:p>
    <w:p w:rsidR="00B679D2" w:rsidRPr="00B679D2" w:rsidRDefault="00B679D2" w:rsidP="00E14CF1">
      <w:pPr>
        <w:pStyle w:val="Heading2"/>
        <w:jc w:val="both"/>
        <w:rPr>
          <w:rFonts w:asciiTheme="minorBidi" w:hAnsiTheme="minorBidi" w:cstheme="minorBidi"/>
          <w:sz w:val="20"/>
          <w:szCs w:val="20"/>
        </w:rPr>
      </w:pPr>
      <w:r w:rsidRPr="00B679D2">
        <w:rPr>
          <w:rStyle w:val="Strong"/>
          <w:rFonts w:asciiTheme="minorBidi" w:hAnsiTheme="minorBidi" w:cstheme="minorBidi"/>
          <w:b/>
          <w:bCs/>
          <w:sz w:val="20"/>
          <w:szCs w:val="20"/>
        </w:rPr>
        <w:t>References</w:t>
      </w:r>
    </w:p>
    <w:p w:rsidR="00B679D2" w:rsidRPr="00EF5CE9" w:rsidRDefault="00B679D2" w:rsidP="00E14CF1">
      <w:pPr>
        <w:pStyle w:val="NormalWeb"/>
        <w:numPr>
          <w:ilvl w:val="0"/>
          <w:numId w:val="1"/>
        </w:numPr>
        <w:jc w:val="both"/>
        <w:rPr>
          <w:rFonts w:asciiTheme="majorHAnsi" w:hAnsiTheme="majorHAnsi"/>
          <w:sz w:val="18"/>
          <w:szCs w:val="18"/>
        </w:rPr>
      </w:pPr>
      <w:r w:rsidRPr="00EF5CE9">
        <w:rPr>
          <w:rFonts w:asciiTheme="majorHAnsi" w:hAnsiTheme="majorHAnsi"/>
          <w:sz w:val="18"/>
          <w:szCs w:val="18"/>
        </w:rPr>
        <w:t xml:space="preserve">Bose S., </w:t>
      </w:r>
      <w:proofErr w:type="spellStart"/>
      <w:r w:rsidRPr="00EF5CE9">
        <w:rPr>
          <w:rFonts w:asciiTheme="majorHAnsi" w:hAnsiTheme="majorHAnsi"/>
          <w:sz w:val="18"/>
          <w:szCs w:val="18"/>
        </w:rPr>
        <w:t>Vahabzadeh</w:t>
      </w:r>
      <w:proofErr w:type="spellEnd"/>
      <w:r w:rsidRPr="00EF5CE9">
        <w:rPr>
          <w:rFonts w:asciiTheme="majorHAnsi" w:hAnsiTheme="majorHAnsi"/>
          <w:sz w:val="18"/>
          <w:szCs w:val="18"/>
        </w:rPr>
        <w:t xml:space="preserve"> S., </w:t>
      </w:r>
      <w:proofErr w:type="spellStart"/>
      <w:r w:rsidRPr="00EF5CE9">
        <w:rPr>
          <w:rFonts w:asciiTheme="majorHAnsi" w:hAnsiTheme="majorHAnsi"/>
          <w:sz w:val="18"/>
          <w:szCs w:val="18"/>
        </w:rPr>
        <w:t>Bandyopadhyay</w:t>
      </w:r>
      <w:proofErr w:type="spellEnd"/>
      <w:r w:rsidRPr="00EF5CE9">
        <w:rPr>
          <w:rFonts w:asciiTheme="majorHAnsi" w:hAnsiTheme="majorHAnsi"/>
          <w:sz w:val="18"/>
          <w:szCs w:val="18"/>
        </w:rPr>
        <w:t xml:space="preserve"> A. </w:t>
      </w:r>
      <w:r w:rsidRPr="00EF5CE9">
        <w:rPr>
          <w:rStyle w:val="Strong"/>
          <w:rFonts w:asciiTheme="majorHAnsi" w:hAnsiTheme="majorHAnsi"/>
          <w:sz w:val="18"/>
          <w:szCs w:val="18"/>
        </w:rPr>
        <w:t>Bone tissue engineering using 3D printing.</w:t>
      </w:r>
      <w:r w:rsidRPr="00EF5CE9">
        <w:rPr>
          <w:rFonts w:asciiTheme="majorHAnsi" w:hAnsiTheme="majorHAnsi"/>
          <w:sz w:val="18"/>
          <w:szCs w:val="18"/>
        </w:rPr>
        <w:t xml:space="preserve"> </w:t>
      </w:r>
      <w:r w:rsidRPr="00EF5CE9">
        <w:rPr>
          <w:rStyle w:val="Emphasis"/>
          <w:rFonts w:asciiTheme="majorHAnsi" w:hAnsiTheme="majorHAnsi"/>
          <w:sz w:val="18"/>
          <w:szCs w:val="18"/>
        </w:rPr>
        <w:t>Materials Today</w:t>
      </w:r>
      <w:r w:rsidRPr="00EF5CE9">
        <w:rPr>
          <w:rFonts w:asciiTheme="majorHAnsi" w:hAnsiTheme="majorHAnsi"/>
          <w:sz w:val="18"/>
          <w:szCs w:val="18"/>
        </w:rPr>
        <w:t>, 2013.</w:t>
      </w:r>
    </w:p>
    <w:p w:rsidR="00EF5CE9" w:rsidRPr="00EF5CE9" w:rsidRDefault="00B679D2" w:rsidP="00E14CF1">
      <w:pPr>
        <w:pStyle w:val="NormalWeb"/>
        <w:numPr>
          <w:ilvl w:val="0"/>
          <w:numId w:val="1"/>
        </w:numPr>
        <w:jc w:val="both"/>
        <w:rPr>
          <w:rFonts w:asciiTheme="majorHAnsi" w:hAnsiTheme="majorHAnsi"/>
          <w:sz w:val="18"/>
          <w:szCs w:val="18"/>
        </w:rPr>
      </w:pPr>
      <w:r w:rsidRPr="00EF5CE9">
        <w:rPr>
          <w:rFonts w:asciiTheme="majorHAnsi" w:hAnsiTheme="majorHAnsi"/>
          <w:sz w:val="18"/>
          <w:szCs w:val="18"/>
        </w:rPr>
        <w:t xml:space="preserve">O’Brien F.J. </w:t>
      </w:r>
      <w:r w:rsidRPr="00EF5CE9">
        <w:rPr>
          <w:rStyle w:val="Strong"/>
          <w:rFonts w:asciiTheme="majorHAnsi" w:hAnsiTheme="majorHAnsi"/>
          <w:sz w:val="18"/>
          <w:szCs w:val="18"/>
        </w:rPr>
        <w:t>Biomaterials &amp; scaffolds for tissue engineering.</w:t>
      </w:r>
      <w:r w:rsidRPr="00EF5CE9">
        <w:rPr>
          <w:rFonts w:asciiTheme="majorHAnsi" w:hAnsiTheme="majorHAnsi"/>
          <w:sz w:val="18"/>
          <w:szCs w:val="18"/>
        </w:rPr>
        <w:t xml:space="preserve"> </w:t>
      </w:r>
      <w:r w:rsidRPr="00EF5CE9">
        <w:rPr>
          <w:rStyle w:val="Emphasis"/>
          <w:rFonts w:asciiTheme="majorHAnsi" w:hAnsiTheme="majorHAnsi"/>
          <w:sz w:val="18"/>
          <w:szCs w:val="18"/>
        </w:rPr>
        <w:t>Materials Today</w:t>
      </w:r>
      <w:r w:rsidRPr="00EF5CE9">
        <w:rPr>
          <w:rFonts w:asciiTheme="majorHAnsi" w:hAnsiTheme="majorHAnsi"/>
          <w:sz w:val="18"/>
          <w:szCs w:val="18"/>
        </w:rPr>
        <w:t>, 2011.</w:t>
      </w:r>
    </w:p>
    <w:p w:rsidR="00B679D2" w:rsidRPr="00EF5CE9" w:rsidRDefault="00B679D2" w:rsidP="00E14CF1">
      <w:pPr>
        <w:pStyle w:val="NormalWeb"/>
        <w:numPr>
          <w:ilvl w:val="0"/>
          <w:numId w:val="1"/>
        </w:numPr>
        <w:jc w:val="both"/>
        <w:rPr>
          <w:rFonts w:asciiTheme="majorHAnsi" w:hAnsiTheme="majorHAnsi"/>
          <w:sz w:val="18"/>
          <w:szCs w:val="18"/>
        </w:rPr>
      </w:pPr>
      <w:proofErr w:type="spellStart"/>
      <w:r w:rsidRPr="00EF5CE9">
        <w:rPr>
          <w:rFonts w:asciiTheme="majorHAnsi" w:hAnsiTheme="majorHAnsi"/>
          <w:sz w:val="18"/>
          <w:szCs w:val="18"/>
        </w:rPr>
        <w:t>Schieker</w:t>
      </w:r>
      <w:proofErr w:type="spellEnd"/>
      <w:r w:rsidRPr="00EF5CE9">
        <w:rPr>
          <w:rFonts w:asciiTheme="majorHAnsi" w:hAnsiTheme="majorHAnsi"/>
          <w:sz w:val="18"/>
          <w:szCs w:val="18"/>
        </w:rPr>
        <w:t xml:space="preserve"> M. et al. </w:t>
      </w:r>
      <w:r w:rsidRPr="00EF5CE9">
        <w:rPr>
          <w:rStyle w:val="Strong"/>
          <w:rFonts w:asciiTheme="majorHAnsi" w:hAnsiTheme="majorHAnsi"/>
          <w:sz w:val="18"/>
          <w:szCs w:val="18"/>
        </w:rPr>
        <w:t>Mesenchymal stem cells in orthopedic surgery.</w:t>
      </w:r>
      <w:r w:rsidRPr="00EF5CE9">
        <w:rPr>
          <w:rFonts w:asciiTheme="majorHAnsi" w:hAnsiTheme="majorHAnsi"/>
          <w:sz w:val="18"/>
          <w:szCs w:val="18"/>
        </w:rPr>
        <w:t xml:space="preserve"> </w:t>
      </w:r>
      <w:r w:rsidRPr="00EF5CE9">
        <w:rPr>
          <w:rStyle w:val="Emphasis"/>
          <w:rFonts w:asciiTheme="majorHAnsi" w:hAnsiTheme="majorHAnsi"/>
          <w:sz w:val="18"/>
          <w:szCs w:val="18"/>
        </w:rPr>
        <w:t>Nature Reviews Rheumatology</w:t>
      </w:r>
      <w:r w:rsidRPr="00EF5CE9">
        <w:rPr>
          <w:rFonts w:asciiTheme="majorHAnsi" w:hAnsiTheme="majorHAnsi"/>
          <w:sz w:val="18"/>
          <w:szCs w:val="18"/>
        </w:rPr>
        <w:t>, 2007.</w:t>
      </w:r>
    </w:p>
    <w:p w:rsidR="00B679D2" w:rsidRPr="00EF5CE9" w:rsidRDefault="00B679D2" w:rsidP="00E14CF1">
      <w:pPr>
        <w:pStyle w:val="NormalWeb"/>
        <w:numPr>
          <w:ilvl w:val="0"/>
          <w:numId w:val="1"/>
        </w:numPr>
        <w:jc w:val="both"/>
        <w:rPr>
          <w:rFonts w:asciiTheme="majorHAnsi" w:hAnsiTheme="majorHAnsi"/>
          <w:sz w:val="18"/>
          <w:szCs w:val="18"/>
        </w:rPr>
      </w:pPr>
      <w:proofErr w:type="spellStart"/>
      <w:r w:rsidRPr="00EF5CE9">
        <w:rPr>
          <w:rFonts w:asciiTheme="majorHAnsi" w:hAnsiTheme="majorHAnsi"/>
          <w:sz w:val="18"/>
          <w:szCs w:val="18"/>
        </w:rPr>
        <w:t>Dimitriou</w:t>
      </w:r>
      <w:proofErr w:type="spellEnd"/>
      <w:r w:rsidRPr="00EF5CE9">
        <w:rPr>
          <w:rFonts w:asciiTheme="majorHAnsi" w:hAnsiTheme="majorHAnsi"/>
          <w:sz w:val="18"/>
          <w:szCs w:val="18"/>
        </w:rPr>
        <w:t xml:space="preserve"> R. et al. </w:t>
      </w:r>
      <w:r w:rsidRPr="00EF5CE9">
        <w:rPr>
          <w:rStyle w:val="Strong"/>
          <w:rFonts w:asciiTheme="majorHAnsi" w:hAnsiTheme="majorHAnsi"/>
          <w:sz w:val="18"/>
          <w:szCs w:val="18"/>
        </w:rPr>
        <w:t xml:space="preserve">Bone regeneration: current </w:t>
      </w:r>
      <w:proofErr w:type="gramStart"/>
      <w:r w:rsidRPr="00EF5CE9">
        <w:rPr>
          <w:rStyle w:val="Strong"/>
          <w:rFonts w:asciiTheme="majorHAnsi" w:hAnsiTheme="majorHAnsi"/>
          <w:sz w:val="18"/>
          <w:szCs w:val="18"/>
        </w:rPr>
        <w:t>concepts</w:t>
      </w:r>
      <w:proofErr w:type="gramEnd"/>
      <w:r w:rsidRPr="00EF5CE9">
        <w:rPr>
          <w:rStyle w:val="Strong"/>
          <w:rFonts w:asciiTheme="majorHAnsi" w:hAnsiTheme="majorHAnsi"/>
          <w:sz w:val="18"/>
          <w:szCs w:val="18"/>
        </w:rPr>
        <w:t xml:space="preserve"> and future directions.</w:t>
      </w:r>
      <w:r w:rsidRPr="00EF5CE9">
        <w:rPr>
          <w:rFonts w:asciiTheme="majorHAnsi" w:hAnsiTheme="majorHAnsi"/>
          <w:sz w:val="18"/>
          <w:szCs w:val="18"/>
        </w:rPr>
        <w:t xml:space="preserve"> </w:t>
      </w:r>
      <w:r w:rsidRPr="00EF5CE9">
        <w:rPr>
          <w:rStyle w:val="Emphasis"/>
          <w:rFonts w:asciiTheme="majorHAnsi" w:hAnsiTheme="majorHAnsi"/>
          <w:sz w:val="18"/>
          <w:szCs w:val="18"/>
        </w:rPr>
        <w:t>BMC Medicine</w:t>
      </w:r>
      <w:r w:rsidRPr="00EF5CE9">
        <w:rPr>
          <w:rFonts w:asciiTheme="majorHAnsi" w:hAnsiTheme="majorHAnsi"/>
          <w:sz w:val="18"/>
          <w:szCs w:val="18"/>
        </w:rPr>
        <w:t>, 2011.</w:t>
      </w:r>
    </w:p>
    <w:p w:rsidR="00B679D2" w:rsidRPr="00EF5CE9" w:rsidRDefault="00B679D2" w:rsidP="00E14CF1">
      <w:pPr>
        <w:pStyle w:val="NormalWeb"/>
        <w:numPr>
          <w:ilvl w:val="0"/>
          <w:numId w:val="1"/>
        </w:numPr>
        <w:jc w:val="both"/>
        <w:rPr>
          <w:rFonts w:asciiTheme="majorHAnsi" w:hAnsiTheme="majorHAnsi"/>
          <w:sz w:val="18"/>
          <w:szCs w:val="18"/>
        </w:rPr>
      </w:pPr>
      <w:r w:rsidRPr="00EF5CE9">
        <w:rPr>
          <w:rFonts w:asciiTheme="majorHAnsi" w:hAnsiTheme="majorHAnsi"/>
          <w:sz w:val="18"/>
          <w:szCs w:val="18"/>
        </w:rPr>
        <w:t xml:space="preserve">Murphy S.V., </w:t>
      </w:r>
      <w:proofErr w:type="spellStart"/>
      <w:r w:rsidRPr="00EF5CE9">
        <w:rPr>
          <w:rFonts w:asciiTheme="majorHAnsi" w:hAnsiTheme="majorHAnsi"/>
          <w:sz w:val="18"/>
          <w:szCs w:val="18"/>
        </w:rPr>
        <w:t>Atala</w:t>
      </w:r>
      <w:proofErr w:type="spellEnd"/>
      <w:r w:rsidRPr="00EF5CE9">
        <w:rPr>
          <w:rFonts w:asciiTheme="majorHAnsi" w:hAnsiTheme="majorHAnsi"/>
          <w:sz w:val="18"/>
          <w:szCs w:val="18"/>
        </w:rPr>
        <w:t xml:space="preserve"> A. </w:t>
      </w:r>
      <w:r w:rsidRPr="00EF5CE9">
        <w:rPr>
          <w:rStyle w:val="Strong"/>
          <w:rFonts w:asciiTheme="majorHAnsi" w:hAnsiTheme="majorHAnsi"/>
          <w:sz w:val="18"/>
          <w:szCs w:val="18"/>
        </w:rPr>
        <w:t xml:space="preserve">3D </w:t>
      </w:r>
      <w:proofErr w:type="spellStart"/>
      <w:r w:rsidRPr="00EF5CE9">
        <w:rPr>
          <w:rStyle w:val="Strong"/>
          <w:rFonts w:asciiTheme="majorHAnsi" w:hAnsiTheme="majorHAnsi"/>
          <w:sz w:val="18"/>
          <w:szCs w:val="18"/>
        </w:rPr>
        <w:t>bioprinting</w:t>
      </w:r>
      <w:proofErr w:type="spellEnd"/>
      <w:r w:rsidRPr="00EF5CE9">
        <w:rPr>
          <w:rStyle w:val="Strong"/>
          <w:rFonts w:asciiTheme="majorHAnsi" w:hAnsiTheme="majorHAnsi"/>
          <w:sz w:val="18"/>
          <w:szCs w:val="18"/>
        </w:rPr>
        <w:t xml:space="preserve"> of tissues and organs.</w:t>
      </w:r>
      <w:r w:rsidRPr="00EF5CE9">
        <w:rPr>
          <w:rFonts w:asciiTheme="majorHAnsi" w:hAnsiTheme="majorHAnsi"/>
          <w:sz w:val="18"/>
          <w:szCs w:val="18"/>
        </w:rPr>
        <w:t xml:space="preserve"> </w:t>
      </w:r>
      <w:r w:rsidRPr="00EF5CE9">
        <w:rPr>
          <w:rStyle w:val="Emphasis"/>
          <w:rFonts w:asciiTheme="majorHAnsi" w:hAnsiTheme="majorHAnsi"/>
          <w:sz w:val="18"/>
          <w:szCs w:val="18"/>
        </w:rPr>
        <w:t>Nature Biotechnology</w:t>
      </w:r>
      <w:r w:rsidRPr="00EF5CE9">
        <w:rPr>
          <w:rFonts w:asciiTheme="majorHAnsi" w:hAnsiTheme="majorHAnsi"/>
          <w:sz w:val="18"/>
          <w:szCs w:val="18"/>
        </w:rPr>
        <w:t>, 2014.</w:t>
      </w:r>
    </w:p>
    <w:p w:rsidR="00B679D2" w:rsidRPr="00EF5CE9" w:rsidRDefault="00B679D2" w:rsidP="00E14CF1">
      <w:pPr>
        <w:pStyle w:val="NormalWeb"/>
        <w:numPr>
          <w:ilvl w:val="0"/>
          <w:numId w:val="1"/>
        </w:numPr>
        <w:jc w:val="both"/>
        <w:rPr>
          <w:rFonts w:asciiTheme="majorHAnsi" w:hAnsiTheme="majorHAnsi"/>
          <w:sz w:val="18"/>
          <w:szCs w:val="18"/>
        </w:rPr>
      </w:pPr>
      <w:proofErr w:type="spellStart"/>
      <w:r w:rsidRPr="00EF5CE9">
        <w:rPr>
          <w:rFonts w:asciiTheme="majorHAnsi" w:hAnsiTheme="majorHAnsi"/>
          <w:sz w:val="18"/>
          <w:szCs w:val="18"/>
        </w:rPr>
        <w:t>Kaigler</w:t>
      </w:r>
      <w:proofErr w:type="spellEnd"/>
      <w:r w:rsidRPr="00EF5CE9">
        <w:rPr>
          <w:rFonts w:asciiTheme="majorHAnsi" w:hAnsiTheme="majorHAnsi"/>
          <w:sz w:val="18"/>
          <w:szCs w:val="18"/>
        </w:rPr>
        <w:t xml:space="preserve"> D., Mooney D. </w:t>
      </w:r>
      <w:r w:rsidRPr="00EF5CE9">
        <w:rPr>
          <w:rStyle w:val="Strong"/>
          <w:rFonts w:asciiTheme="majorHAnsi" w:hAnsiTheme="majorHAnsi"/>
          <w:sz w:val="18"/>
          <w:szCs w:val="18"/>
        </w:rPr>
        <w:t>Tissue engineering’s impact on dentistry.</w:t>
      </w:r>
      <w:r w:rsidRPr="00EF5CE9">
        <w:rPr>
          <w:rFonts w:asciiTheme="majorHAnsi" w:hAnsiTheme="majorHAnsi"/>
          <w:sz w:val="18"/>
          <w:szCs w:val="18"/>
        </w:rPr>
        <w:t xml:space="preserve"> </w:t>
      </w:r>
      <w:r w:rsidRPr="00EF5CE9">
        <w:rPr>
          <w:rStyle w:val="Emphasis"/>
          <w:rFonts w:asciiTheme="majorHAnsi" w:hAnsiTheme="majorHAnsi"/>
          <w:sz w:val="18"/>
          <w:szCs w:val="18"/>
        </w:rPr>
        <w:t>Journal of Dental Education</w:t>
      </w:r>
      <w:r w:rsidRPr="00EF5CE9">
        <w:rPr>
          <w:rFonts w:asciiTheme="majorHAnsi" w:hAnsiTheme="majorHAnsi"/>
          <w:sz w:val="18"/>
          <w:szCs w:val="18"/>
        </w:rPr>
        <w:t>, 2001.</w:t>
      </w:r>
    </w:p>
    <w:p w:rsidR="003F322E" w:rsidRPr="004E3C51" w:rsidRDefault="00B679D2" w:rsidP="00E14CF1">
      <w:pPr>
        <w:pStyle w:val="NormalWeb"/>
        <w:numPr>
          <w:ilvl w:val="0"/>
          <w:numId w:val="1"/>
        </w:numPr>
        <w:jc w:val="both"/>
        <w:rPr>
          <w:rFonts w:asciiTheme="minorHAnsi" w:hAnsiTheme="minorHAnsi" w:cstheme="minorHAnsi"/>
          <w:sz w:val="18"/>
          <w:szCs w:val="18"/>
        </w:rPr>
      </w:pPr>
      <w:r w:rsidRPr="00EF5CE9">
        <w:rPr>
          <w:rFonts w:asciiTheme="majorHAnsi" w:hAnsiTheme="majorHAnsi"/>
          <w:sz w:val="18"/>
          <w:szCs w:val="18"/>
        </w:rPr>
        <w:t xml:space="preserve">Marx R.E. </w:t>
      </w:r>
      <w:r w:rsidRPr="00EF5CE9">
        <w:rPr>
          <w:rStyle w:val="Strong"/>
          <w:rFonts w:asciiTheme="majorHAnsi" w:hAnsiTheme="majorHAnsi"/>
          <w:sz w:val="18"/>
          <w:szCs w:val="18"/>
        </w:rPr>
        <w:t>Bone grafts in oral and maxillofacial surgery.</w:t>
      </w:r>
      <w:r w:rsidRPr="00EF5CE9">
        <w:rPr>
          <w:rFonts w:asciiTheme="majorHAnsi" w:hAnsiTheme="majorHAnsi"/>
          <w:sz w:val="18"/>
          <w:szCs w:val="18"/>
        </w:rPr>
        <w:t xml:space="preserve"> </w:t>
      </w:r>
      <w:r w:rsidRPr="00EF5CE9">
        <w:rPr>
          <w:rStyle w:val="Emphasis"/>
          <w:rFonts w:asciiTheme="majorHAnsi" w:hAnsiTheme="majorHAnsi"/>
          <w:sz w:val="18"/>
          <w:szCs w:val="18"/>
        </w:rPr>
        <w:t>Oral and Maxillofacial Surgery Clinics</w:t>
      </w:r>
      <w:r w:rsidR="00E14CF1">
        <w:rPr>
          <w:rFonts w:asciiTheme="majorHAnsi" w:hAnsiTheme="majorHAnsi"/>
          <w:sz w:val="18"/>
          <w:szCs w:val="18"/>
        </w:rPr>
        <w:t>,2007</w:t>
      </w: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ajorHAnsi" w:hAnsiTheme="majorHAnsi"/>
          <w:sz w:val="18"/>
          <w:szCs w:val="18"/>
        </w:rPr>
      </w:pPr>
    </w:p>
    <w:p w:rsidR="004E3C51" w:rsidRDefault="004E3C51" w:rsidP="004E3C51">
      <w:pPr>
        <w:pStyle w:val="NormalWeb"/>
        <w:jc w:val="both"/>
        <w:rPr>
          <w:rFonts w:asciiTheme="minorHAnsi" w:hAnsiTheme="minorHAnsi" w:cstheme="minorHAnsi"/>
          <w:sz w:val="18"/>
          <w:szCs w:val="18"/>
        </w:rPr>
      </w:pPr>
      <w:r>
        <w:rPr>
          <w:rFonts w:asciiTheme="minorHAnsi" w:hAnsiTheme="minorHAnsi" w:cstheme="minorHAnsi"/>
          <w:noProof/>
          <w:sz w:val="18"/>
          <w:szCs w:val="18"/>
        </w:rPr>
        <w:lastRenderedPageBreak/>
        <w:drawing>
          <wp:inline distT="0" distB="0" distL="0" distR="0">
            <wp:extent cx="1015470" cy="1035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21598" cy="1041935"/>
                    </a:xfrm>
                    <a:prstGeom prst="rect">
                      <a:avLst/>
                    </a:prstGeom>
                  </pic:spPr>
                </pic:pic>
              </a:graphicData>
            </a:graphic>
          </wp:inline>
        </w:drawing>
      </w:r>
    </w:p>
    <w:p w:rsidR="004E3C51" w:rsidRDefault="004E3C51" w:rsidP="004E3C51">
      <w:pPr>
        <w:pStyle w:val="NormalWeb"/>
        <w:jc w:val="both"/>
        <w:rPr>
          <w:rFonts w:asciiTheme="minorBidi" w:hAnsiTheme="minorBidi" w:cstheme="minorBidi"/>
          <w:sz w:val="16"/>
          <w:szCs w:val="16"/>
        </w:rPr>
      </w:pPr>
      <w:r w:rsidRPr="004E3C51">
        <w:rPr>
          <w:rFonts w:asciiTheme="minorHAnsi" w:hAnsiTheme="minorHAnsi" w:cstheme="minorHAnsi"/>
          <w:sz w:val="20"/>
          <w:szCs w:val="20"/>
        </w:rPr>
        <w:br w:type="textWrapping" w:clear="all"/>
      </w:r>
      <w:proofErr w:type="spellStart"/>
      <w:r w:rsidRPr="004E3C51">
        <w:rPr>
          <w:rFonts w:asciiTheme="minorBidi" w:hAnsiTheme="minorBidi" w:cstheme="minorBidi"/>
          <w:sz w:val="16"/>
          <w:szCs w:val="16"/>
        </w:rPr>
        <w:t>Eisa</w:t>
      </w:r>
      <w:proofErr w:type="spellEnd"/>
      <w:r w:rsidRPr="004E3C51">
        <w:rPr>
          <w:rFonts w:asciiTheme="minorBidi" w:hAnsiTheme="minorBidi" w:cstheme="minorBidi"/>
          <w:sz w:val="16"/>
          <w:szCs w:val="16"/>
        </w:rPr>
        <w:t xml:space="preserve"> </w:t>
      </w:r>
      <w:proofErr w:type="spellStart"/>
      <w:r w:rsidRPr="004E3C51">
        <w:rPr>
          <w:rFonts w:asciiTheme="minorBidi" w:hAnsiTheme="minorBidi" w:cstheme="minorBidi"/>
          <w:sz w:val="16"/>
          <w:szCs w:val="16"/>
        </w:rPr>
        <w:t>balazadeh</w:t>
      </w:r>
      <w:proofErr w:type="spellEnd"/>
      <w:r w:rsidRPr="004E3C51">
        <w:rPr>
          <w:rFonts w:asciiTheme="minorBidi" w:hAnsiTheme="minorBidi" w:cstheme="minorBidi"/>
          <w:sz w:val="16"/>
          <w:szCs w:val="16"/>
        </w:rPr>
        <w:t xml:space="preserve"> </w:t>
      </w:r>
      <w:proofErr w:type="spellStart"/>
      <w:r w:rsidRPr="004E3C51">
        <w:rPr>
          <w:rFonts w:asciiTheme="minorBidi" w:hAnsiTheme="minorBidi" w:cstheme="minorBidi"/>
          <w:sz w:val="16"/>
          <w:szCs w:val="16"/>
        </w:rPr>
        <w:t>arallouy</w:t>
      </w:r>
      <w:proofErr w:type="spellEnd"/>
      <w:r w:rsidRPr="004E3C51">
        <w:rPr>
          <w:rFonts w:asciiTheme="minorBidi" w:hAnsiTheme="minorBidi" w:cstheme="minorBidi"/>
          <w:sz w:val="16"/>
          <w:szCs w:val="16"/>
        </w:rPr>
        <w:t xml:space="preserve"> </w:t>
      </w:r>
      <w:proofErr w:type="spellStart"/>
      <w:r w:rsidRPr="004E3C51">
        <w:rPr>
          <w:rFonts w:asciiTheme="minorBidi" w:hAnsiTheme="minorBidi" w:cstheme="minorBidi"/>
          <w:sz w:val="16"/>
          <w:szCs w:val="16"/>
        </w:rPr>
        <w:t>kouchak</w:t>
      </w:r>
      <w:proofErr w:type="spellEnd"/>
      <w:r w:rsidRPr="004E3C51">
        <w:rPr>
          <w:rFonts w:asciiTheme="minorBidi" w:hAnsiTheme="minorBidi" w:cstheme="minorBidi"/>
          <w:sz w:val="16"/>
          <w:szCs w:val="16"/>
        </w:rPr>
        <w:t xml:space="preserve"> is a third-year dental student at Azerbaijan Medical University in </w:t>
      </w:r>
      <w:proofErr w:type="spellStart"/>
      <w:r w:rsidRPr="004E3C51">
        <w:rPr>
          <w:rFonts w:asciiTheme="minorBidi" w:hAnsiTheme="minorBidi" w:cstheme="minorBidi"/>
          <w:sz w:val="16"/>
          <w:szCs w:val="16"/>
        </w:rPr>
        <w:t>Baku.He</w:t>
      </w:r>
      <w:proofErr w:type="spellEnd"/>
      <w:r w:rsidRPr="004E3C51">
        <w:rPr>
          <w:rFonts w:asciiTheme="minorBidi" w:hAnsiTheme="minorBidi" w:cstheme="minorBidi"/>
          <w:sz w:val="16"/>
          <w:szCs w:val="16"/>
        </w:rPr>
        <w:t xml:space="preserve"> is currently pursuing a Doctor of Dental Surgery (DDS) degree with a strong interest in clinical dentistry and patient care. His academic focus includes restorative dentistry, oral health promotion, and preventive dental </w:t>
      </w:r>
      <w:proofErr w:type="spellStart"/>
      <w:r w:rsidRPr="004E3C51">
        <w:rPr>
          <w:rFonts w:asciiTheme="minorBidi" w:hAnsiTheme="minorBidi" w:cstheme="minorBidi"/>
          <w:sz w:val="16"/>
          <w:szCs w:val="16"/>
        </w:rPr>
        <w:t>care.He</w:t>
      </w:r>
      <w:proofErr w:type="spellEnd"/>
      <w:r w:rsidRPr="004E3C51">
        <w:rPr>
          <w:rFonts w:asciiTheme="minorBidi" w:hAnsiTheme="minorBidi" w:cstheme="minorBidi"/>
          <w:sz w:val="16"/>
          <w:szCs w:val="16"/>
        </w:rPr>
        <w:t xml:space="preserve"> is passionate about improving oral health awareness and developing practical skills through clinical training. In addition to academic studies, she/he is interested in participating in research activities and professional development programs.</w:t>
      </w:r>
    </w:p>
    <w:p w:rsidR="004E3C51" w:rsidRDefault="004E3C51" w:rsidP="004E3C51">
      <w:r>
        <w:rPr>
          <w:rFonts w:ascii="Arial" w:eastAsia="Tw Cen MT" w:cs="Tw Cen MT"/>
          <w:sz w:val="14"/>
          <w:szCs w:val="14"/>
        </w:rPr>
        <w:t>Email</w:t>
      </w:r>
      <w:r>
        <w:rPr>
          <w:rFonts w:ascii="Arial" w:eastAsia="Tw Cen MT" w:cs="Tw Cen MT"/>
          <w:sz w:val="14"/>
          <w:szCs w:val="14"/>
        </w:rPr>
        <w:t>:eisabalazadeh@gmail.com</w:t>
      </w:r>
      <w:bookmarkStart w:id="0" w:name="_GoBack"/>
      <w:bookmarkEnd w:id="0"/>
    </w:p>
    <w:p w:rsidR="004E3C51" w:rsidRPr="004E3C51" w:rsidRDefault="004E3C51" w:rsidP="004E3C51">
      <w:pPr>
        <w:pStyle w:val="NormalWeb"/>
        <w:jc w:val="both"/>
        <w:rPr>
          <w:rFonts w:asciiTheme="minorBidi" w:hAnsiTheme="minorBidi" w:cstheme="minorBidi"/>
          <w:sz w:val="16"/>
          <w:szCs w:val="16"/>
        </w:rPr>
      </w:pPr>
    </w:p>
    <w:sectPr w:rsidR="004E3C51" w:rsidRPr="004E3C51" w:rsidSect="003F322E">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42BB9"/>
    <w:multiLevelType w:val="multilevel"/>
    <w:tmpl w:val="07EE926E"/>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9D2"/>
    <w:rsid w:val="00001661"/>
    <w:rsid w:val="00085EEE"/>
    <w:rsid w:val="003F322E"/>
    <w:rsid w:val="004E3C51"/>
    <w:rsid w:val="00755D53"/>
    <w:rsid w:val="00B679D2"/>
    <w:rsid w:val="00E14CF1"/>
    <w:rsid w:val="00EF5C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B5752-FEEA-4C81-8996-A4A19B1E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679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79D2"/>
    <w:rPr>
      <w:rFonts w:ascii="Times New Roman" w:eastAsia="Times New Roman" w:hAnsi="Times New Roman" w:cs="Times New Roman"/>
      <w:b/>
      <w:bCs/>
      <w:sz w:val="36"/>
      <w:szCs w:val="36"/>
    </w:rPr>
  </w:style>
  <w:style w:type="character" w:styleId="Strong">
    <w:name w:val="Strong"/>
    <w:basedOn w:val="DefaultParagraphFont"/>
    <w:uiPriority w:val="22"/>
    <w:qFormat/>
    <w:rsid w:val="00B679D2"/>
    <w:rPr>
      <w:b/>
      <w:bCs/>
    </w:rPr>
  </w:style>
  <w:style w:type="paragraph" w:styleId="NormalWeb">
    <w:name w:val="Normal (Web)"/>
    <w:basedOn w:val="Normal"/>
    <w:uiPriority w:val="99"/>
    <w:unhideWhenUsed/>
    <w:rsid w:val="00B679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79D2"/>
    <w:rPr>
      <w:i/>
      <w:iCs/>
    </w:rPr>
  </w:style>
  <w:style w:type="character" w:styleId="LineNumber">
    <w:name w:val="line number"/>
    <w:basedOn w:val="DefaultParagraphFont"/>
    <w:uiPriority w:val="99"/>
    <w:semiHidden/>
    <w:unhideWhenUsed/>
    <w:rsid w:val="00E14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712607">
      <w:bodyDiv w:val="1"/>
      <w:marLeft w:val="0"/>
      <w:marRight w:val="0"/>
      <w:marTop w:val="0"/>
      <w:marBottom w:val="0"/>
      <w:divBdr>
        <w:top w:val="none" w:sz="0" w:space="0" w:color="auto"/>
        <w:left w:val="none" w:sz="0" w:space="0" w:color="auto"/>
        <w:bottom w:val="none" w:sz="0" w:space="0" w:color="auto"/>
        <w:right w:val="none" w:sz="0" w:space="0" w:color="auto"/>
      </w:divBdr>
    </w:div>
    <w:div w:id="1231967200">
      <w:bodyDiv w:val="1"/>
      <w:marLeft w:val="0"/>
      <w:marRight w:val="0"/>
      <w:marTop w:val="0"/>
      <w:marBottom w:val="0"/>
      <w:divBdr>
        <w:top w:val="none" w:sz="0" w:space="0" w:color="auto"/>
        <w:left w:val="none" w:sz="0" w:space="0" w:color="auto"/>
        <w:bottom w:val="none" w:sz="0" w:space="0" w:color="auto"/>
        <w:right w:val="none" w:sz="0" w:space="0" w:color="auto"/>
      </w:divBdr>
    </w:div>
    <w:div w:id="200003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sarv-system</dc:creator>
  <cp:keywords/>
  <dc:description/>
  <cp:lastModifiedBy>sarv-system</cp:lastModifiedBy>
  <cp:revision>1</cp:revision>
  <dcterms:created xsi:type="dcterms:W3CDTF">2026-02-20T22:05:00Z</dcterms:created>
  <dcterms:modified xsi:type="dcterms:W3CDTF">2026-02-20T23:25:00Z</dcterms:modified>
</cp:coreProperties>
</file>