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60B8A" w14:textId="0567BD9E" w:rsidR="00D8472D" w:rsidRDefault="008E1F66" w:rsidP="00AD6119">
      <w:pPr>
        <w:rPr>
          <w:rFonts w:ascii="Arial" w:hAnsi="Arial" w:cs="Arial"/>
          <w:b/>
          <w:bCs/>
          <w:sz w:val="32"/>
          <w:szCs w:val="32"/>
        </w:rPr>
      </w:pPr>
      <w:r>
        <w:rPr>
          <w:rFonts w:ascii="Arial" w:hAnsi="Arial" w:cs="Arial"/>
          <w:b/>
          <w:bCs/>
          <w:sz w:val="32"/>
          <w:szCs w:val="32"/>
        </w:rPr>
        <w:t xml:space="preserve">Human </w:t>
      </w:r>
      <w:r w:rsidR="00172AEB">
        <w:rPr>
          <w:rFonts w:ascii="Arial" w:hAnsi="Arial" w:cs="Arial"/>
          <w:b/>
          <w:bCs/>
          <w:sz w:val="32"/>
          <w:szCs w:val="32"/>
        </w:rPr>
        <w:t>Stem Cells</w:t>
      </w:r>
      <w:r>
        <w:rPr>
          <w:rFonts w:ascii="Arial" w:hAnsi="Arial" w:cs="Arial"/>
          <w:b/>
          <w:bCs/>
          <w:sz w:val="32"/>
          <w:szCs w:val="32"/>
        </w:rPr>
        <w:t xml:space="preserve"> </w:t>
      </w:r>
      <w:r w:rsidR="00AD6119">
        <w:rPr>
          <w:rFonts w:ascii="Arial" w:hAnsi="Arial" w:cs="Arial"/>
          <w:b/>
          <w:bCs/>
          <w:sz w:val="32"/>
          <w:szCs w:val="32"/>
        </w:rPr>
        <w:t xml:space="preserve">Creation </w:t>
      </w:r>
      <w:r w:rsidR="007F7B49">
        <w:rPr>
          <w:rFonts w:ascii="Arial" w:hAnsi="Arial" w:cs="Arial"/>
          <w:b/>
          <w:bCs/>
          <w:sz w:val="32"/>
          <w:szCs w:val="32"/>
        </w:rPr>
        <w:t>and Tissue Engineering</w:t>
      </w:r>
      <w:bookmarkStart w:id="0" w:name="_GoBack"/>
      <w:bookmarkEnd w:id="0"/>
    </w:p>
    <w:p w14:paraId="3DBDCEE6" w14:textId="77777777" w:rsidR="008E1F66" w:rsidRDefault="008E1F66">
      <w:pPr>
        <w:rPr>
          <w:rFonts w:ascii="Arial" w:hAnsi="Arial" w:cs="Arial"/>
          <w:b/>
          <w:bCs/>
          <w:sz w:val="32"/>
          <w:szCs w:val="32"/>
        </w:rPr>
      </w:pPr>
    </w:p>
    <w:p w14:paraId="6F45E9D9" w14:textId="77777777" w:rsidR="008E1F66" w:rsidRDefault="008E1F66">
      <w:pPr>
        <w:rPr>
          <w:rFonts w:ascii="Arial" w:hAnsi="Arial" w:cs="Arial"/>
          <w:b/>
          <w:bCs/>
          <w:sz w:val="32"/>
          <w:szCs w:val="32"/>
        </w:rPr>
      </w:pPr>
    </w:p>
    <w:p w14:paraId="68291294" w14:textId="37D47AE8" w:rsidR="008E1F66" w:rsidRDefault="008E1F66">
      <w:pPr>
        <w:rPr>
          <w:rFonts w:ascii="Arial" w:hAnsi="Arial" w:cs="Arial"/>
          <w:b/>
          <w:bCs/>
          <w:sz w:val="32"/>
          <w:szCs w:val="32"/>
        </w:rPr>
      </w:pPr>
      <w:r>
        <w:rPr>
          <w:rFonts w:ascii="Arial" w:hAnsi="Arial" w:cs="Arial"/>
          <w:b/>
          <w:bCs/>
          <w:sz w:val="32"/>
          <w:szCs w:val="32"/>
        </w:rPr>
        <w:t>Ilham Saleh Abuljadayel</w:t>
      </w:r>
    </w:p>
    <w:p w14:paraId="6EF936D4" w14:textId="77777777" w:rsidR="00762EF7" w:rsidRDefault="00762EF7">
      <w:pPr>
        <w:rPr>
          <w:rFonts w:ascii="Arial" w:hAnsi="Arial" w:cs="Arial"/>
          <w:b/>
          <w:bCs/>
          <w:sz w:val="32"/>
          <w:szCs w:val="32"/>
        </w:rPr>
      </w:pPr>
    </w:p>
    <w:p w14:paraId="69B945B2" w14:textId="1A5AB03D" w:rsidR="00762EF7" w:rsidRDefault="00762EF7">
      <w:pPr>
        <w:rPr>
          <w:rFonts w:ascii="Arial" w:hAnsi="Arial" w:cs="Arial"/>
          <w:b/>
          <w:bCs/>
          <w:sz w:val="32"/>
          <w:szCs w:val="32"/>
        </w:rPr>
      </w:pPr>
      <w:proofErr w:type="spellStart"/>
      <w:r>
        <w:rPr>
          <w:rFonts w:ascii="Arial" w:hAnsi="Arial" w:cs="Arial"/>
          <w:b/>
          <w:bCs/>
          <w:sz w:val="32"/>
          <w:szCs w:val="32"/>
        </w:rPr>
        <w:t>TriStem</w:t>
      </w:r>
      <w:proofErr w:type="spellEnd"/>
      <w:r>
        <w:rPr>
          <w:rFonts w:ascii="Arial" w:hAnsi="Arial" w:cs="Arial"/>
          <w:b/>
          <w:bCs/>
          <w:sz w:val="32"/>
          <w:szCs w:val="32"/>
        </w:rPr>
        <w:t xml:space="preserve"> Corporation LTD.</w:t>
      </w:r>
    </w:p>
    <w:p w14:paraId="2427CE3B" w14:textId="77777777" w:rsidR="00762EF7" w:rsidRDefault="00762EF7">
      <w:pPr>
        <w:rPr>
          <w:rFonts w:ascii="Arial" w:hAnsi="Arial" w:cs="Arial"/>
          <w:b/>
          <w:bCs/>
          <w:sz w:val="32"/>
          <w:szCs w:val="32"/>
        </w:rPr>
      </w:pPr>
    </w:p>
    <w:p w14:paraId="03B3A00D" w14:textId="7E4AE5B1" w:rsidR="00762EF7" w:rsidRDefault="00762EF7">
      <w:pPr>
        <w:rPr>
          <w:rFonts w:ascii="Arial" w:hAnsi="Arial" w:cs="Arial"/>
          <w:b/>
          <w:bCs/>
          <w:sz w:val="32"/>
          <w:szCs w:val="32"/>
        </w:rPr>
      </w:pPr>
      <w:r>
        <w:rPr>
          <w:rFonts w:ascii="Arial" w:hAnsi="Arial" w:cs="Arial"/>
          <w:b/>
          <w:bCs/>
          <w:sz w:val="32"/>
          <w:szCs w:val="32"/>
        </w:rPr>
        <w:t>UK</w:t>
      </w:r>
    </w:p>
    <w:p w14:paraId="0ABAB593" w14:textId="77777777" w:rsidR="008E1F66" w:rsidRDefault="008E1F66">
      <w:pPr>
        <w:rPr>
          <w:rFonts w:ascii="Arial" w:hAnsi="Arial" w:cs="Arial"/>
          <w:b/>
          <w:bCs/>
          <w:sz w:val="32"/>
          <w:szCs w:val="32"/>
        </w:rPr>
      </w:pPr>
    </w:p>
    <w:p w14:paraId="35B72D17" w14:textId="4F499589" w:rsidR="008E1F66" w:rsidRDefault="008E1F66">
      <w:pPr>
        <w:rPr>
          <w:rFonts w:ascii="Arial" w:hAnsi="Arial" w:cs="Arial"/>
          <w:b/>
          <w:bCs/>
          <w:sz w:val="32"/>
          <w:szCs w:val="32"/>
        </w:rPr>
      </w:pPr>
      <w:r>
        <w:rPr>
          <w:rFonts w:ascii="Arial" w:hAnsi="Arial" w:cs="Arial"/>
          <w:b/>
          <w:bCs/>
          <w:sz w:val="32"/>
          <w:szCs w:val="32"/>
        </w:rPr>
        <w:t>Abstract</w:t>
      </w:r>
    </w:p>
    <w:p w14:paraId="6655968E" w14:textId="77777777" w:rsidR="000E7B14" w:rsidRDefault="000E7B14">
      <w:pPr>
        <w:rPr>
          <w:rFonts w:ascii="Arial" w:hAnsi="Arial" w:cs="Arial"/>
          <w:b/>
          <w:bCs/>
          <w:sz w:val="32"/>
          <w:szCs w:val="32"/>
        </w:rPr>
      </w:pPr>
    </w:p>
    <w:p w14:paraId="7C7DB54D" w14:textId="58E18983" w:rsidR="00713F7C" w:rsidRDefault="00172AEB" w:rsidP="00713F7C">
      <w:pPr>
        <w:jc w:val="both"/>
        <w:rPr>
          <w:rFonts w:ascii="Arial" w:hAnsi="Arial" w:cs="Arial"/>
          <w:sz w:val="32"/>
          <w:szCs w:val="32"/>
        </w:rPr>
      </w:pPr>
      <w:r>
        <w:rPr>
          <w:rFonts w:ascii="Arial" w:hAnsi="Arial" w:cs="Arial"/>
          <w:sz w:val="32"/>
          <w:szCs w:val="32"/>
        </w:rPr>
        <w:t>The ability to generate multipotent stem cells from donors mature adult cells such as peripheral blood leukocytes</w:t>
      </w:r>
      <w:r w:rsidR="00780042">
        <w:rPr>
          <w:rFonts w:ascii="Arial" w:hAnsi="Arial" w:cs="Arial"/>
          <w:sz w:val="32"/>
          <w:szCs w:val="32"/>
        </w:rPr>
        <w:t>,</w:t>
      </w:r>
      <w:r>
        <w:rPr>
          <w:rFonts w:ascii="Arial" w:hAnsi="Arial" w:cs="Arial"/>
          <w:sz w:val="32"/>
          <w:szCs w:val="32"/>
        </w:rPr>
        <w:t xml:space="preserve"> </w:t>
      </w:r>
      <w:r w:rsidR="000E7B14">
        <w:rPr>
          <w:rFonts w:ascii="Arial" w:hAnsi="Arial" w:cs="Arial"/>
          <w:sz w:val="32"/>
          <w:szCs w:val="32"/>
        </w:rPr>
        <w:t>particularly</w:t>
      </w:r>
      <w:r>
        <w:rPr>
          <w:rFonts w:ascii="Arial" w:hAnsi="Arial" w:cs="Arial"/>
          <w:sz w:val="32"/>
          <w:szCs w:val="32"/>
        </w:rPr>
        <w:t xml:space="preserve"> via cell surface contact with monoclonal antibodies is an attractive</w:t>
      </w:r>
      <w:r w:rsidR="000E7B14">
        <w:rPr>
          <w:rFonts w:ascii="Arial" w:hAnsi="Arial" w:cs="Arial"/>
          <w:sz w:val="32"/>
          <w:szCs w:val="32"/>
        </w:rPr>
        <w:t xml:space="preserve"> clinical</w:t>
      </w:r>
      <w:r>
        <w:rPr>
          <w:rFonts w:ascii="Arial" w:hAnsi="Arial" w:cs="Arial"/>
          <w:sz w:val="32"/>
          <w:szCs w:val="32"/>
        </w:rPr>
        <w:t xml:space="preserve"> procedure. This</w:t>
      </w:r>
      <w:r w:rsidR="000E7B14">
        <w:rPr>
          <w:rFonts w:ascii="Arial" w:hAnsi="Arial" w:cs="Arial"/>
          <w:sz w:val="32"/>
          <w:szCs w:val="32"/>
        </w:rPr>
        <w:t xml:space="preserve"> type of</w:t>
      </w:r>
      <w:r>
        <w:rPr>
          <w:rFonts w:ascii="Arial" w:hAnsi="Arial" w:cs="Arial"/>
          <w:sz w:val="32"/>
          <w:szCs w:val="32"/>
        </w:rPr>
        <w:t xml:space="preserve"> reprogramming approach grantees</w:t>
      </w:r>
      <w:r w:rsidR="000E7B14">
        <w:rPr>
          <w:rFonts w:ascii="Arial" w:hAnsi="Arial" w:cs="Arial"/>
          <w:sz w:val="32"/>
          <w:szCs w:val="32"/>
        </w:rPr>
        <w:t xml:space="preserve"> the safety as well as the</w:t>
      </w:r>
      <w:r>
        <w:rPr>
          <w:rFonts w:ascii="Arial" w:hAnsi="Arial" w:cs="Arial"/>
          <w:sz w:val="32"/>
          <w:szCs w:val="32"/>
        </w:rPr>
        <w:t xml:space="preserve"> automation of stem cell production</w:t>
      </w:r>
      <w:r w:rsidR="00780042">
        <w:rPr>
          <w:rFonts w:ascii="Arial" w:hAnsi="Arial" w:cs="Arial"/>
          <w:sz w:val="32"/>
          <w:szCs w:val="32"/>
        </w:rPr>
        <w:t>,</w:t>
      </w:r>
      <w:r>
        <w:rPr>
          <w:rFonts w:ascii="Arial" w:hAnsi="Arial" w:cs="Arial"/>
          <w:sz w:val="32"/>
          <w:szCs w:val="32"/>
        </w:rPr>
        <w:t xml:space="preserve"> in</w:t>
      </w:r>
      <w:r w:rsidR="000E7B14">
        <w:rPr>
          <w:rFonts w:ascii="Arial" w:hAnsi="Arial" w:cs="Arial"/>
          <w:sz w:val="32"/>
          <w:szCs w:val="32"/>
        </w:rPr>
        <w:t xml:space="preserve"> a</w:t>
      </w:r>
      <w:r>
        <w:rPr>
          <w:rFonts w:ascii="Arial" w:hAnsi="Arial" w:cs="Arial"/>
          <w:sz w:val="32"/>
          <w:szCs w:val="32"/>
        </w:rPr>
        <w:t xml:space="preserve"> </w:t>
      </w:r>
      <w:r w:rsidR="000E7B14">
        <w:rPr>
          <w:rFonts w:ascii="Arial" w:hAnsi="Arial" w:cs="Arial"/>
          <w:sz w:val="32"/>
          <w:szCs w:val="32"/>
        </w:rPr>
        <w:t>seamless</w:t>
      </w:r>
      <w:r>
        <w:rPr>
          <w:rFonts w:ascii="Arial" w:hAnsi="Arial" w:cs="Arial"/>
          <w:sz w:val="32"/>
          <w:szCs w:val="32"/>
        </w:rPr>
        <w:t xml:space="preserve"> manner. </w:t>
      </w:r>
      <w:r w:rsidR="000E7B14">
        <w:rPr>
          <w:rFonts w:ascii="Arial" w:hAnsi="Arial" w:cs="Arial"/>
          <w:sz w:val="32"/>
          <w:szCs w:val="32"/>
        </w:rPr>
        <w:t>The ability to convert human peripheral leukocytes using monoclonal antibody to monomorphic region of major histocompatibility complex (MHC) class II antigens has been documented</w:t>
      </w:r>
      <w:r w:rsidR="00780042">
        <w:rPr>
          <w:rFonts w:ascii="Arial" w:hAnsi="Arial" w:cs="Arial"/>
          <w:sz w:val="32"/>
          <w:szCs w:val="32"/>
        </w:rPr>
        <w:t>,</w:t>
      </w:r>
      <w:r w:rsidR="000E7B14">
        <w:rPr>
          <w:rFonts w:ascii="Arial" w:hAnsi="Arial" w:cs="Arial"/>
          <w:sz w:val="32"/>
          <w:szCs w:val="32"/>
        </w:rPr>
        <w:t xml:space="preserve"> in a process termed retrodifferentiation. In this </w:t>
      </w:r>
      <w:r w:rsidR="005F098A">
        <w:rPr>
          <w:rFonts w:ascii="Arial" w:hAnsi="Arial" w:cs="Arial"/>
          <w:sz w:val="32"/>
          <w:szCs w:val="32"/>
        </w:rPr>
        <w:t>process,</w:t>
      </w:r>
      <w:r w:rsidR="000E7B14">
        <w:rPr>
          <w:rFonts w:ascii="Arial" w:hAnsi="Arial" w:cs="Arial"/>
          <w:sz w:val="32"/>
          <w:szCs w:val="32"/>
        </w:rPr>
        <w:t xml:space="preserve"> a variety of stem cell types belonging to the mesenchymal, ectodermal and endodermal lineages have been noted in response to altering cell culture conditions. </w:t>
      </w:r>
      <w:r w:rsidR="005E7E1F">
        <w:rPr>
          <w:rFonts w:ascii="Arial" w:hAnsi="Arial" w:cs="Arial"/>
          <w:sz w:val="32"/>
          <w:szCs w:val="32"/>
        </w:rPr>
        <w:t xml:space="preserve">The retrodifferentiation process is similar to </w:t>
      </w:r>
      <w:proofErr w:type="spellStart"/>
      <w:r w:rsidR="005E7E1F">
        <w:rPr>
          <w:rFonts w:ascii="Arial" w:hAnsi="Arial" w:cs="Arial"/>
          <w:sz w:val="32"/>
          <w:szCs w:val="32"/>
        </w:rPr>
        <w:t>epimorphic</w:t>
      </w:r>
      <w:proofErr w:type="spellEnd"/>
      <w:r w:rsidR="005E7E1F">
        <w:rPr>
          <w:rFonts w:ascii="Arial" w:hAnsi="Arial" w:cs="Arial"/>
          <w:sz w:val="32"/>
          <w:szCs w:val="32"/>
        </w:rPr>
        <w:t xml:space="preserve"> regeneration</w:t>
      </w:r>
      <w:r w:rsidR="00780042">
        <w:rPr>
          <w:rFonts w:ascii="Arial" w:hAnsi="Arial" w:cs="Arial"/>
          <w:sz w:val="32"/>
          <w:szCs w:val="32"/>
        </w:rPr>
        <w:t>,</w:t>
      </w:r>
      <w:r w:rsidR="005E7E1F">
        <w:rPr>
          <w:rFonts w:ascii="Arial" w:hAnsi="Arial" w:cs="Arial"/>
          <w:sz w:val="32"/>
          <w:szCs w:val="32"/>
        </w:rPr>
        <w:t xml:space="preserve"> </w:t>
      </w:r>
      <w:r w:rsidR="005F098A">
        <w:rPr>
          <w:rFonts w:ascii="Arial" w:hAnsi="Arial" w:cs="Arial"/>
          <w:sz w:val="32"/>
          <w:szCs w:val="32"/>
        </w:rPr>
        <w:t>which occurs in</w:t>
      </w:r>
      <w:r w:rsidR="005E7E1F">
        <w:rPr>
          <w:rFonts w:ascii="Arial" w:hAnsi="Arial" w:cs="Arial"/>
          <w:sz w:val="32"/>
          <w:szCs w:val="32"/>
        </w:rPr>
        <w:t xml:space="preserve"> lower vertebrate </w:t>
      </w:r>
      <w:r w:rsidR="005F098A">
        <w:rPr>
          <w:rFonts w:ascii="Arial" w:hAnsi="Arial" w:cs="Arial"/>
          <w:sz w:val="32"/>
          <w:szCs w:val="32"/>
        </w:rPr>
        <w:t>such as the salamander</w:t>
      </w:r>
      <w:r w:rsidR="00780042">
        <w:rPr>
          <w:rFonts w:ascii="Arial" w:hAnsi="Arial" w:cs="Arial"/>
          <w:sz w:val="32"/>
          <w:szCs w:val="32"/>
        </w:rPr>
        <w:t>,</w:t>
      </w:r>
      <w:r w:rsidR="005F098A">
        <w:rPr>
          <w:rFonts w:ascii="Arial" w:hAnsi="Arial" w:cs="Arial"/>
          <w:sz w:val="32"/>
          <w:szCs w:val="32"/>
        </w:rPr>
        <w:t xml:space="preserve"> albeit ex vivo in human peripheral leukocytes.</w:t>
      </w:r>
    </w:p>
    <w:p w14:paraId="5E1D0DD9" w14:textId="77777777" w:rsidR="008764CB" w:rsidRDefault="00713F7C" w:rsidP="008764CB">
      <w:pPr>
        <w:jc w:val="both"/>
        <w:rPr>
          <w:rFonts w:ascii="Arial" w:hAnsi="Arial" w:cs="Arial"/>
          <w:sz w:val="32"/>
          <w:szCs w:val="32"/>
        </w:rPr>
      </w:pPr>
      <w:r>
        <w:rPr>
          <w:rFonts w:ascii="Arial" w:hAnsi="Arial" w:cs="Arial"/>
          <w:sz w:val="32"/>
          <w:szCs w:val="32"/>
        </w:rPr>
        <w:t>Herein</w:t>
      </w:r>
      <w:r w:rsidR="00780042">
        <w:rPr>
          <w:rFonts w:ascii="Arial" w:hAnsi="Arial" w:cs="Arial"/>
          <w:sz w:val="32"/>
          <w:szCs w:val="32"/>
        </w:rPr>
        <w:t>,</w:t>
      </w:r>
      <w:r>
        <w:rPr>
          <w:rFonts w:ascii="Arial" w:hAnsi="Arial" w:cs="Arial"/>
          <w:sz w:val="32"/>
          <w:szCs w:val="32"/>
        </w:rPr>
        <w:t xml:space="preserve"> this presentation the generation of a variety of stem cell type</w:t>
      </w:r>
      <w:r w:rsidR="00C64676">
        <w:rPr>
          <w:rFonts w:ascii="Arial" w:hAnsi="Arial" w:cs="Arial"/>
          <w:sz w:val="32"/>
          <w:szCs w:val="32"/>
        </w:rPr>
        <w:t>s will be</w:t>
      </w:r>
      <w:r>
        <w:rPr>
          <w:rFonts w:ascii="Arial" w:hAnsi="Arial" w:cs="Arial"/>
          <w:sz w:val="32"/>
          <w:szCs w:val="32"/>
        </w:rPr>
        <w:t xml:space="preserve"> illustrated including its application in treating a blood disorder such as aplastic anaemia</w:t>
      </w:r>
      <w:r w:rsidR="00780042">
        <w:rPr>
          <w:rFonts w:ascii="Arial" w:hAnsi="Arial" w:cs="Arial"/>
          <w:sz w:val="32"/>
          <w:szCs w:val="32"/>
        </w:rPr>
        <w:t>,</w:t>
      </w:r>
      <w:r>
        <w:rPr>
          <w:rFonts w:ascii="Arial" w:hAnsi="Arial" w:cs="Arial"/>
          <w:sz w:val="32"/>
          <w:szCs w:val="32"/>
        </w:rPr>
        <w:t xml:space="preserve"> in an autologous manner and without any preconditioning regimen. Furthermore</w:t>
      </w:r>
      <w:r w:rsidR="00767D05">
        <w:rPr>
          <w:rFonts w:ascii="Arial" w:hAnsi="Arial" w:cs="Arial"/>
          <w:sz w:val="32"/>
          <w:szCs w:val="32"/>
        </w:rPr>
        <w:t>,</w:t>
      </w:r>
      <w:r>
        <w:rPr>
          <w:rFonts w:ascii="Arial" w:hAnsi="Arial" w:cs="Arial"/>
          <w:sz w:val="32"/>
          <w:szCs w:val="32"/>
        </w:rPr>
        <w:t xml:space="preserve"> the application </w:t>
      </w:r>
      <w:r w:rsidR="00767D05">
        <w:rPr>
          <w:rFonts w:ascii="Arial" w:hAnsi="Arial" w:cs="Arial"/>
          <w:sz w:val="32"/>
          <w:szCs w:val="32"/>
        </w:rPr>
        <w:t>of retrodifferentiation in generat</w:t>
      </w:r>
      <w:r w:rsidR="00BE178C">
        <w:rPr>
          <w:rFonts w:ascii="Arial" w:hAnsi="Arial" w:cs="Arial"/>
          <w:sz w:val="32"/>
          <w:szCs w:val="32"/>
        </w:rPr>
        <w:t>ing complex human tissue such as</w:t>
      </w:r>
      <w:r w:rsidR="00767D05">
        <w:rPr>
          <w:rFonts w:ascii="Arial" w:hAnsi="Arial" w:cs="Arial"/>
          <w:sz w:val="32"/>
          <w:szCs w:val="32"/>
        </w:rPr>
        <w:t xml:space="preserve"> bone and neurons using 3D </w:t>
      </w:r>
      <w:proofErr w:type="spellStart"/>
      <w:r w:rsidR="00767D05">
        <w:rPr>
          <w:rFonts w:ascii="Arial" w:hAnsi="Arial" w:cs="Arial"/>
          <w:sz w:val="32"/>
          <w:szCs w:val="32"/>
        </w:rPr>
        <w:t>bioprin</w:t>
      </w:r>
      <w:r w:rsidR="00C64676">
        <w:rPr>
          <w:rFonts w:ascii="Arial" w:hAnsi="Arial" w:cs="Arial"/>
          <w:sz w:val="32"/>
          <w:szCs w:val="32"/>
        </w:rPr>
        <w:t>t</w:t>
      </w:r>
      <w:r w:rsidR="00767D05">
        <w:rPr>
          <w:rFonts w:ascii="Arial" w:hAnsi="Arial" w:cs="Arial"/>
          <w:sz w:val="32"/>
          <w:szCs w:val="32"/>
        </w:rPr>
        <w:t>ing</w:t>
      </w:r>
      <w:proofErr w:type="spellEnd"/>
      <w:r w:rsidR="00767D05">
        <w:rPr>
          <w:rFonts w:ascii="Arial" w:hAnsi="Arial" w:cs="Arial"/>
          <w:sz w:val="32"/>
          <w:szCs w:val="32"/>
        </w:rPr>
        <w:t xml:space="preserve"> scaffolding matrices wi</w:t>
      </w:r>
      <w:r w:rsidR="00C64676">
        <w:rPr>
          <w:rFonts w:ascii="Arial" w:hAnsi="Arial" w:cs="Arial"/>
          <w:sz w:val="32"/>
          <w:szCs w:val="32"/>
        </w:rPr>
        <w:t>ll be shown.</w:t>
      </w:r>
      <w:r w:rsidR="0067031B">
        <w:rPr>
          <w:rFonts w:ascii="Arial" w:hAnsi="Arial" w:cs="Arial"/>
          <w:sz w:val="32"/>
          <w:szCs w:val="32"/>
        </w:rPr>
        <w:t xml:space="preserve"> </w:t>
      </w:r>
      <w:r w:rsidR="00BE178C">
        <w:rPr>
          <w:rFonts w:ascii="Arial" w:hAnsi="Arial" w:cs="Arial"/>
          <w:sz w:val="32"/>
          <w:szCs w:val="32"/>
        </w:rPr>
        <w:t>Finally</w:t>
      </w:r>
      <w:r w:rsidR="00780042">
        <w:rPr>
          <w:rFonts w:ascii="Arial" w:hAnsi="Arial" w:cs="Arial"/>
          <w:sz w:val="32"/>
          <w:szCs w:val="32"/>
        </w:rPr>
        <w:t>,</w:t>
      </w:r>
      <w:r w:rsidR="00BE178C">
        <w:rPr>
          <w:rFonts w:ascii="Arial" w:hAnsi="Arial" w:cs="Arial"/>
          <w:sz w:val="32"/>
          <w:szCs w:val="32"/>
        </w:rPr>
        <w:t xml:space="preserve"> this approach can be extended for the generation of vital tissue comprising </w:t>
      </w:r>
      <w:r w:rsidR="0026040E">
        <w:rPr>
          <w:rFonts w:ascii="Arial" w:hAnsi="Arial" w:cs="Arial"/>
          <w:sz w:val="32"/>
          <w:szCs w:val="32"/>
        </w:rPr>
        <w:t>the pancreas</w:t>
      </w:r>
      <w:r w:rsidR="00780042">
        <w:rPr>
          <w:rFonts w:ascii="Arial" w:hAnsi="Arial" w:cs="Arial"/>
          <w:sz w:val="32"/>
          <w:szCs w:val="32"/>
        </w:rPr>
        <w:t xml:space="preserve"> and liver</w:t>
      </w:r>
      <w:r w:rsidR="00BE178C">
        <w:rPr>
          <w:rFonts w:ascii="Arial" w:hAnsi="Arial" w:cs="Arial"/>
          <w:sz w:val="32"/>
          <w:szCs w:val="32"/>
        </w:rPr>
        <w:t xml:space="preserve"> with the ability to secrete insulin </w:t>
      </w:r>
      <w:r w:rsidR="00780042">
        <w:rPr>
          <w:rFonts w:ascii="Arial" w:hAnsi="Arial" w:cs="Arial"/>
          <w:sz w:val="32"/>
          <w:szCs w:val="32"/>
        </w:rPr>
        <w:t xml:space="preserve">and albumin </w:t>
      </w:r>
      <w:r w:rsidR="00BE178C">
        <w:rPr>
          <w:rFonts w:ascii="Arial" w:hAnsi="Arial" w:cs="Arial"/>
          <w:sz w:val="32"/>
          <w:szCs w:val="32"/>
        </w:rPr>
        <w:lastRenderedPageBreak/>
        <w:t>for the treatment of type I diabetes</w:t>
      </w:r>
      <w:r w:rsidR="00780042">
        <w:rPr>
          <w:rFonts w:ascii="Arial" w:hAnsi="Arial" w:cs="Arial"/>
          <w:sz w:val="32"/>
          <w:szCs w:val="32"/>
        </w:rPr>
        <w:t xml:space="preserve"> and liver cirrhosis, respectively</w:t>
      </w:r>
      <w:r w:rsidR="00BE178C">
        <w:rPr>
          <w:rFonts w:ascii="Arial" w:hAnsi="Arial" w:cs="Arial"/>
          <w:sz w:val="32"/>
          <w:szCs w:val="32"/>
        </w:rPr>
        <w:t>.</w:t>
      </w:r>
    </w:p>
    <w:p w14:paraId="4492E9E7" w14:textId="77777777" w:rsidR="008764CB" w:rsidRDefault="008764CB" w:rsidP="008764CB">
      <w:pPr>
        <w:jc w:val="both"/>
        <w:rPr>
          <w:rFonts w:ascii="Arial" w:hAnsi="Arial" w:cs="Arial"/>
          <w:sz w:val="32"/>
          <w:szCs w:val="32"/>
        </w:rPr>
      </w:pPr>
    </w:p>
    <w:p w14:paraId="44E3A2C9" w14:textId="63B9EE56" w:rsidR="008764CB" w:rsidRPr="008764CB" w:rsidRDefault="008764CB" w:rsidP="008764CB">
      <w:pPr>
        <w:pStyle w:val="ListParagraph"/>
        <w:numPr>
          <w:ilvl w:val="0"/>
          <w:numId w:val="2"/>
        </w:numPr>
        <w:jc w:val="both"/>
        <w:rPr>
          <w:rFonts w:ascii="Arial" w:hAnsi="Arial" w:cs="Arial"/>
          <w:sz w:val="32"/>
          <w:szCs w:val="32"/>
        </w:rPr>
      </w:pPr>
      <w:r w:rsidRPr="008764CB">
        <w:rPr>
          <w:rFonts w:ascii="Arial" w:hAnsi="Arial" w:cs="Arial"/>
          <w:bCs/>
          <w:lang w:val="en-US"/>
        </w:rPr>
        <w:t xml:space="preserve">– Current, </w:t>
      </w:r>
      <w:r w:rsidRPr="008764CB">
        <w:rPr>
          <w:rFonts w:ascii="Arial" w:hAnsi="Arial" w:cs="Arial"/>
          <w:bCs/>
          <w:color w:val="000000"/>
          <w:lang w:val="en-US"/>
        </w:rPr>
        <w:t xml:space="preserve">Group Chief Scientific Officer. Founder of the </w:t>
      </w:r>
      <w:proofErr w:type="spellStart"/>
      <w:r w:rsidRPr="008764CB">
        <w:rPr>
          <w:rFonts w:ascii="Arial" w:hAnsi="Arial" w:cs="Arial"/>
          <w:bCs/>
          <w:color w:val="000000"/>
          <w:lang w:val="en-US"/>
        </w:rPr>
        <w:t>TriStem</w:t>
      </w:r>
      <w:proofErr w:type="spellEnd"/>
      <w:r w:rsidRPr="008764CB">
        <w:rPr>
          <w:rFonts w:ascii="Arial" w:hAnsi="Arial" w:cs="Arial"/>
          <w:bCs/>
          <w:color w:val="000000"/>
          <w:lang w:val="en-US"/>
        </w:rPr>
        <w:t xml:space="preserve"> Worldwide Patented Technology.</w:t>
      </w:r>
      <w:r w:rsidRPr="008764CB">
        <w:rPr>
          <w:rFonts w:ascii="Arial" w:hAnsi="Arial" w:cs="Arial"/>
          <w:sz w:val="32"/>
          <w:szCs w:val="32"/>
        </w:rPr>
        <w:t xml:space="preserve"> </w:t>
      </w:r>
      <w:r w:rsidRPr="008764CB">
        <w:rPr>
          <w:rFonts w:ascii="Arial" w:hAnsi="Arial" w:cs="Arial"/>
        </w:rPr>
        <w:t>Collaboration</w:t>
      </w:r>
      <w:r w:rsidR="00E06209">
        <w:rPr>
          <w:rFonts w:ascii="Arial" w:hAnsi="Arial" w:cs="Arial"/>
        </w:rPr>
        <w:t xml:space="preserve"> and work from 2003:</w:t>
      </w:r>
      <w:r w:rsidRPr="008764CB">
        <w:rPr>
          <w:rFonts w:ascii="Arial" w:hAnsi="Arial" w:cs="Arial"/>
        </w:rPr>
        <w:t xml:space="preserve"> PA consulting Group Royston, England, Anatomy Department Downing College, University of Cambridge, </w:t>
      </w:r>
      <w:r w:rsidRPr="008764CB">
        <w:rPr>
          <w:rFonts w:ascii="Arial" w:hAnsi="Arial" w:cs="Arial"/>
          <w:rtl/>
        </w:rPr>
        <w:t xml:space="preserve"> </w:t>
      </w:r>
      <w:r w:rsidRPr="008764CB">
        <w:rPr>
          <w:rFonts w:ascii="Arial" w:hAnsi="Arial" w:cs="Arial"/>
        </w:rPr>
        <w:t xml:space="preserve">Trinity College, Dublin, George Washington Medical Centre and the American Red Cross, Indian Council of Medical Research and King Edward Memorial Hospital, Mumbai, Pakistan Council of Medical Research, Monash University, Australia,  Columbia University,  </w:t>
      </w:r>
      <w:proofErr w:type="spellStart"/>
      <w:r w:rsidRPr="008764CB">
        <w:rPr>
          <w:rFonts w:ascii="Arial" w:hAnsi="Arial" w:cs="Arial"/>
        </w:rPr>
        <w:t>Fraunhofer</w:t>
      </w:r>
      <w:proofErr w:type="spellEnd"/>
      <w:r w:rsidRPr="008764CB">
        <w:rPr>
          <w:rFonts w:ascii="Arial" w:hAnsi="Arial" w:cs="Arial"/>
        </w:rPr>
        <w:t xml:space="preserve"> institute for Cell Therapy and Immunology, the Egyptian National Institute of Cancer Research, Cairo University and the Egyptian Society of Stem Cell Research. </w:t>
      </w:r>
      <w:r w:rsidRPr="008764CB">
        <w:rPr>
          <w:rFonts w:ascii="Arial" w:hAnsi="Arial" w:cs="Arial"/>
          <w:sz w:val="32"/>
          <w:szCs w:val="32"/>
        </w:rPr>
        <w:t xml:space="preserve"> </w:t>
      </w:r>
      <w:r w:rsidRPr="008764CB">
        <w:rPr>
          <w:rFonts w:ascii="Arial" w:hAnsi="Arial" w:cs="Arial"/>
          <w:bCs/>
          <w:lang w:val="en-US"/>
        </w:rPr>
        <w:t xml:space="preserve">1991– </w:t>
      </w:r>
      <w:r w:rsidR="00762EF7">
        <w:rPr>
          <w:rFonts w:ascii="Arial" w:hAnsi="Arial" w:cs="Arial"/>
          <w:bCs/>
          <w:lang w:val="en-US"/>
        </w:rPr>
        <w:t xml:space="preserve">1996, Consultant Immunologist, </w:t>
      </w:r>
      <w:r w:rsidRPr="008764CB">
        <w:rPr>
          <w:rFonts w:ascii="Arial" w:hAnsi="Arial" w:cs="Arial"/>
          <w:bCs/>
          <w:lang w:val="en-US"/>
        </w:rPr>
        <w:t>King Fahd Armed Forces Hospital, Jeddah, Kingdom of Saudi Arabia.</w:t>
      </w:r>
    </w:p>
    <w:p w14:paraId="7D135D36" w14:textId="78D6C47C" w:rsidR="00AD6119" w:rsidRPr="008764CB" w:rsidRDefault="00AD6119" w:rsidP="00713F7C">
      <w:pPr>
        <w:jc w:val="both"/>
        <w:rPr>
          <w:rFonts w:ascii="Arial" w:hAnsi="Arial" w:cs="Arial"/>
          <w:sz w:val="32"/>
          <w:szCs w:val="32"/>
          <w:lang w:val="en-US"/>
        </w:rPr>
      </w:pPr>
    </w:p>
    <w:sectPr w:rsidR="00AD6119" w:rsidRPr="008764CB" w:rsidSect="00BB585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8E204E"/>
    <w:multiLevelType w:val="hybridMultilevel"/>
    <w:tmpl w:val="FE5A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AF85479"/>
    <w:multiLevelType w:val="hybridMultilevel"/>
    <w:tmpl w:val="33D03440"/>
    <w:lvl w:ilvl="0" w:tplc="5C768C5C">
      <w:start w:val="1997"/>
      <w:numFmt w:val="decimal"/>
      <w:lvlText w:val="%1"/>
      <w:lvlJc w:val="left"/>
      <w:pPr>
        <w:ind w:left="900" w:hanging="54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EB"/>
    <w:rsid w:val="000E7B14"/>
    <w:rsid w:val="00172AEB"/>
    <w:rsid w:val="0026040E"/>
    <w:rsid w:val="002D58B5"/>
    <w:rsid w:val="004B17BD"/>
    <w:rsid w:val="005E7E1F"/>
    <w:rsid w:val="005F098A"/>
    <w:rsid w:val="00602148"/>
    <w:rsid w:val="0067031B"/>
    <w:rsid w:val="00713F7C"/>
    <w:rsid w:val="00756334"/>
    <w:rsid w:val="00762EF7"/>
    <w:rsid w:val="00767D05"/>
    <w:rsid w:val="00780042"/>
    <w:rsid w:val="007F7B49"/>
    <w:rsid w:val="008764CB"/>
    <w:rsid w:val="008E1F66"/>
    <w:rsid w:val="00940D6F"/>
    <w:rsid w:val="00AD6119"/>
    <w:rsid w:val="00BB585C"/>
    <w:rsid w:val="00BE178C"/>
    <w:rsid w:val="00C64676"/>
    <w:rsid w:val="00D8472D"/>
    <w:rsid w:val="00E06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E9CB7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4CB"/>
    <w:pPr>
      <w:ind w:left="720"/>
      <w:contextualSpacing/>
    </w:pPr>
    <w:rPr>
      <w:rFonts w:ascii="Book Antiqua" w:eastAsia="Times New Roman" w:hAnsi="Book Antiqu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363</Words>
  <Characters>2073</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Ilham Abuljadayel</dc:creator>
  <cp:keywords/>
  <dc:description/>
  <cp:lastModifiedBy>Ilham Abuljadayel</cp:lastModifiedBy>
  <cp:revision>3</cp:revision>
  <dcterms:created xsi:type="dcterms:W3CDTF">2019-04-05T11:08:00Z</dcterms:created>
  <dcterms:modified xsi:type="dcterms:W3CDTF">2019-04-08T12:19:00Z</dcterms:modified>
</cp:coreProperties>
</file>