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FE5" w:rsidRPr="00B27DCF" w:rsidRDefault="00BD3FE5" w:rsidP="00BD3FE5">
      <w:pPr>
        <w:jc w:val="center"/>
        <w:rPr>
          <w:b/>
          <w:sz w:val="28"/>
          <w:szCs w:val="28"/>
        </w:rPr>
      </w:pPr>
    </w:p>
    <w:p w:rsidR="00BD3FE5" w:rsidRPr="00B27DCF" w:rsidRDefault="00BD3FE5" w:rsidP="00BD3FE5">
      <w:pPr>
        <w:jc w:val="center"/>
        <w:rPr>
          <w:b/>
          <w:sz w:val="28"/>
          <w:szCs w:val="28"/>
        </w:rPr>
      </w:pPr>
      <w:r>
        <w:rPr>
          <w:b/>
          <w:sz w:val="28"/>
          <w:szCs w:val="28"/>
        </w:rPr>
        <w:t>VIRAL</w:t>
      </w:r>
      <w:r w:rsidRPr="00B27DCF">
        <w:rPr>
          <w:b/>
          <w:sz w:val="28"/>
          <w:szCs w:val="28"/>
        </w:rPr>
        <w:t xml:space="preserve"> GENE DELIVERY TOOLS IN OPTIMIZATION OF HUMAN MESENCHYMAL STEM CELLS</w:t>
      </w:r>
      <w:r>
        <w:rPr>
          <w:b/>
          <w:sz w:val="28"/>
          <w:szCs w:val="28"/>
        </w:rPr>
        <w:t>’ OSTEOBLAST DIFFERENTIATION</w:t>
      </w:r>
      <w:r w:rsidRPr="00B27DCF">
        <w:rPr>
          <w:b/>
          <w:sz w:val="28"/>
          <w:szCs w:val="28"/>
        </w:rPr>
        <w:t>.</w:t>
      </w:r>
    </w:p>
    <w:p w:rsidR="00BD3FE5" w:rsidRPr="00B27DCF" w:rsidRDefault="00BD3FE5" w:rsidP="00BD3FE5">
      <w:pPr>
        <w:jc w:val="center"/>
        <w:rPr>
          <w:sz w:val="28"/>
          <w:szCs w:val="28"/>
        </w:rPr>
      </w:pPr>
      <w:r w:rsidRPr="00B27DCF">
        <w:rPr>
          <w:sz w:val="28"/>
          <w:szCs w:val="28"/>
        </w:rPr>
        <w:t>O.Korchynskyi</w:t>
      </w:r>
    </w:p>
    <w:p w:rsidR="00BD3FE5" w:rsidRPr="00B27DCF" w:rsidRDefault="00BD3FE5" w:rsidP="00BD3FE5">
      <w:pPr>
        <w:jc w:val="center"/>
        <w:rPr>
          <w:sz w:val="28"/>
          <w:szCs w:val="28"/>
        </w:rPr>
      </w:pPr>
      <w:r w:rsidRPr="00B27DCF">
        <w:rPr>
          <w:sz w:val="28"/>
          <w:szCs w:val="28"/>
        </w:rPr>
        <w:t>Institute of Cell Biology, Natl.Acad.Sci., of Ukraine, Lviv, Ukraine</w:t>
      </w:r>
    </w:p>
    <w:p w:rsidR="00BD3FE5" w:rsidRPr="00B27DCF" w:rsidRDefault="00BD3FE5" w:rsidP="00BD3FE5">
      <w:pPr>
        <w:jc w:val="center"/>
        <w:rPr>
          <w:sz w:val="28"/>
          <w:szCs w:val="28"/>
        </w:rPr>
      </w:pPr>
      <w:r w:rsidRPr="00B27DCF">
        <w:rPr>
          <w:sz w:val="28"/>
          <w:szCs w:val="28"/>
        </w:rPr>
        <w:t>Medical Faculty, Rzeszow University, Rzeszow, Poland</w:t>
      </w:r>
    </w:p>
    <w:p w:rsidR="00BD3FE5" w:rsidRPr="00B27DCF" w:rsidRDefault="00BD3FE5" w:rsidP="00BD3FE5">
      <w:pPr>
        <w:jc w:val="center"/>
        <w:rPr>
          <w:sz w:val="28"/>
          <w:szCs w:val="28"/>
          <w:lang w:val="uk-UA"/>
        </w:rPr>
      </w:pPr>
    </w:p>
    <w:p w:rsidR="00BD3FE5" w:rsidRPr="00B27DCF" w:rsidRDefault="00BD3FE5" w:rsidP="00BD3FE5">
      <w:pPr>
        <w:jc w:val="both"/>
        <w:rPr>
          <w:sz w:val="28"/>
          <w:szCs w:val="28"/>
        </w:rPr>
      </w:pPr>
      <w:r w:rsidRPr="00B27DCF">
        <w:rPr>
          <w:b/>
          <w:sz w:val="28"/>
          <w:szCs w:val="28"/>
        </w:rPr>
        <w:t>Introduction.</w:t>
      </w:r>
      <w:r w:rsidRPr="00B27DCF">
        <w:rPr>
          <w:sz w:val="28"/>
          <w:szCs w:val="28"/>
        </w:rPr>
        <w:t xml:space="preserve"> Human skeleton is completely remodeled by mesenchymal stem cells (MSC) within roughly four-and-half years. Bone morphogenetic proteins (BMP) are main inducers of bone formation and maintenance apart of their crucial roles in morphogenesis of other tissues and organs. Optimal activity of BMPs in bone usually requires coordinate signals with the Wnt pathway. Consequently, several bone diseases occur when BMP or Wnt pathways are misregulated. Therefore, proper optimization of the osteogenesis requires efficient gene delivery tools on the way of modulation of osteoblast differentiation of MSC. Unfortunately, classical transfection with multiple transfection reagents triggers massive cell death in transduced MSC. On the other hand, viral tools for gene delivery allow to get 100% of efficiently transduced stem cells without any detection of toxicity. </w:t>
      </w:r>
    </w:p>
    <w:p w:rsidR="00BD3FE5" w:rsidRPr="00B27DCF" w:rsidRDefault="00BD3FE5" w:rsidP="00BD3FE5">
      <w:pPr>
        <w:jc w:val="both"/>
        <w:rPr>
          <w:sz w:val="28"/>
          <w:szCs w:val="28"/>
        </w:rPr>
      </w:pPr>
      <w:r w:rsidRPr="00B27DCF">
        <w:rPr>
          <w:b/>
          <w:sz w:val="28"/>
          <w:szCs w:val="28"/>
        </w:rPr>
        <w:t>Methods of research:</w:t>
      </w:r>
      <w:r w:rsidRPr="00B27DCF">
        <w:rPr>
          <w:sz w:val="28"/>
          <w:szCs w:val="28"/>
        </w:rPr>
        <w:t xml:space="preserve">  Human MSC cell were isolated from bone marrow aspirates obtained under patients</w:t>
      </w:r>
      <w:r>
        <w:rPr>
          <w:sz w:val="28"/>
          <w:szCs w:val="28"/>
        </w:rPr>
        <w:t>’</w:t>
      </w:r>
      <w:r w:rsidRPr="00B27DCF">
        <w:rPr>
          <w:sz w:val="28"/>
          <w:szCs w:val="28"/>
        </w:rPr>
        <w:t xml:space="preserve"> consent</w:t>
      </w:r>
      <w:r w:rsidRPr="00B27DCF">
        <w:rPr>
          <w:sz w:val="28"/>
          <w:szCs w:val="28"/>
          <w:lang w:val="uk-UA"/>
        </w:rPr>
        <w:t xml:space="preserve"> </w:t>
      </w:r>
      <w:r w:rsidRPr="00B27DCF">
        <w:rPr>
          <w:sz w:val="28"/>
          <w:szCs w:val="28"/>
        </w:rPr>
        <w:t xml:space="preserve">from surgical material upon hip joint arthroplasty or from patients’ fat using a liposuction.  Adv5-based vectors were used for efficient overexpression of recombinant genes into the </w:t>
      </w:r>
      <w:r>
        <w:rPr>
          <w:sz w:val="28"/>
          <w:szCs w:val="28"/>
        </w:rPr>
        <w:t xml:space="preserve">mesenchymal precursor </w:t>
      </w:r>
      <w:r w:rsidRPr="00B27DCF">
        <w:rPr>
          <w:sz w:val="28"/>
          <w:szCs w:val="28"/>
        </w:rPr>
        <w:t xml:space="preserve">cells and lentiviral vectors were used for small hairpin RNA (shRNA)-mediated knockdown of gene expression. </w:t>
      </w:r>
    </w:p>
    <w:p w:rsidR="00BD3FE5" w:rsidRPr="00B27DCF" w:rsidRDefault="00BD3FE5" w:rsidP="00BD3FE5">
      <w:pPr>
        <w:jc w:val="both"/>
        <w:rPr>
          <w:sz w:val="28"/>
          <w:szCs w:val="28"/>
        </w:rPr>
      </w:pPr>
      <w:r w:rsidRPr="00B27DCF">
        <w:rPr>
          <w:b/>
          <w:sz w:val="28"/>
          <w:szCs w:val="28"/>
        </w:rPr>
        <w:t>Results and Discussions:</w:t>
      </w:r>
      <w:r w:rsidRPr="00B27DCF">
        <w:rPr>
          <w:sz w:val="28"/>
          <w:szCs w:val="28"/>
        </w:rPr>
        <w:t xml:space="preserve"> The set of adenoviral and lentiviral vectors generated at our lab allows to overexpress or correspondingly downregulate expression of different genes important in regulation of osteogenesis. Usage of the gene delivery tools generated at our lab allowed us to describe a molecular </w:t>
      </w:r>
      <w:r w:rsidRPr="00B27DCF">
        <w:rPr>
          <w:sz w:val="28"/>
          <w:szCs w:val="28"/>
        </w:rPr>
        <w:lastRenderedPageBreak/>
        <w:t>mechanism that mediates osteogenesis regulation by secreted phosphoprotein 2.</w:t>
      </w:r>
    </w:p>
    <w:p w:rsidR="00BD3FE5" w:rsidRPr="00B27DCF" w:rsidRDefault="00BD3FE5" w:rsidP="00BD3FE5">
      <w:pPr>
        <w:jc w:val="both"/>
        <w:rPr>
          <w:color w:val="000000" w:themeColor="text1"/>
          <w:sz w:val="28"/>
          <w:szCs w:val="28"/>
        </w:rPr>
      </w:pPr>
      <w:r w:rsidRPr="00B27DCF">
        <w:rPr>
          <w:rFonts w:ascii="Times New Roman Bold" w:hAnsi="Times New Roman Bold" w:cs="Times New Roman Bold"/>
          <w:b/>
          <w:bCs/>
          <w:color w:val="000000" w:themeColor="text1"/>
          <w:sz w:val="28"/>
          <w:szCs w:val="28"/>
        </w:rPr>
        <w:t xml:space="preserve">Conclusions: </w:t>
      </w:r>
      <w:r w:rsidRPr="00B27DCF">
        <w:rPr>
          <w:rFonts w:ascii="Times New Roman Bold" w:hAnsi="Times New Roman Bold" w:cs="Times New Roman Bold"/>
          <w:bCs/>
          <w:color w:val="000000" w:themeColor="text1"/>
          <w:sz w:val="28"/>
          <w:szCs w:val="28"/>
        </w:rPr>
        <w:t>Modern viral gene delivery tools open a wide window for biomedical studies aiming to investigate the molecular mechanisms of human MSC differentiation and to optimize the efficacy of regenerative skeletal tissues engineering based on MSC incorporation into the grafts.</w:t>
      </w:r>
    </w:p>
    <w:p w:rsidR="0028059F" w:rsidRDefault="00CE511D" w:rsidP="00DF04E3">
      <w:pPr>
        <w:pStyle w:val="HTMLPreformatted"/>
        <w:jc w:val="both"/>
        <w:rPr>
          <w:rFonts w:ascii="Times New Roman" w:hAnsi="Times New Roman" w:cs="Times New Roman"/>
          <w:sz w:val="24"/>
        </w:rPr>
      </w:pPr>
      <w:r>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D3FE5">
        <w:rPr>
          <w:rFonts w:ascii="Times New Roman" w:hAnsi="Times New Roman" w:cs="Times New Roman"/>
          <w:i/>
          <w:sz w:val="24"/>
        </w:rPr>
        <w:t xml:space="preserve">bone marrow derived human mesenchymal stem cells, osteogenesis, bone morphogenetic protein, recombinant </w:t>
      </w:r>
      <w:r w:rsidR="003F0B19">
        <w:rPr>
          <w:rFonts w:ascii="Times New Roman" w:hAnsi="Times New Roman" w:cs="Times New Roman"/>
          <w:i/>
          <w:sz w:val="24"/>
        </w:rPr>
        <w:t>adenovirus.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bookmarkStart w:id="0" w:name="_GoBack"/>
      <w:bookmarkEnd w:id="0"/>
    </w:p>
    <w:p w:rsidR="00DF04E3" w:rsidRDefault="00DF04E3" w:rsidP="00DF04E3">
      <w:pPr>
        <w:pStyle w:val="HTMLPreformatted"/>
        <w:jc w:val="both"/>
        <w:rPr>
          <w:rFonts w:ascii="Times New Roman" w:hAnsi="Times New Roman" w:cs="Times New Roman"/>
          <w:b/>
          <w:iCs/>
          <w:sz w:val="24"/>
        </w:rPr>
      </w:pPr>
    </w:p>
    <w:p w:rsidR="00DF04E3" w:rsidRDefault="00BD3FE5" w:rsidP="00BD3FE5">
      <w:pPr>
        <w:jc w:val="both"/>
        <w:rPr>
          <w:rFonts w:ascii="Times New Roman" w:hAnsi="Times New Roman" w:cs="Times New Roman"/>
          <w:iCs/>
          <w:sz w:val="24"/>
        </w:rPr>
      </w:pPr>
      <w:r>
        <w:rPr>
          <w:sz w:val="28"/>
          <w:szCs w:val="28"/>
        </w:rPr>
        <w:t xml:space="preserve">Olexandr </w:t>
      </w:r>
      <w:r w:rsidRPr="00B27DCF">
        <w:rPr>
          <w:sz w:val="28"/>
          <w:szCs w:val="28"/>
        </w:rPr>
        <w:t>Korchynskyi</w:t>
      </w:r>
      <w:r>
        <w:rPr>
          <w:sz w:val="28"/>
          <w:szCs w:val="28"/>
        </w:rPr>
        <w:t xml:space="preserve"> </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27</w:t>
      </w:r>
      <w:r w:rsidR="00DF04E3" w:rsidRPr="00DF04E3">
        <w:rPr>
          <w:rFonts w:ascii="Times New Roman" w:hAnsi="Times New Roman" w:cs="Times New Roman"/>
          <w:iCs/>
          <w:sz w:val="24"/>
        </w:rPr>
        <w:t xml:space="preserve"> years from </w:t>
      </w:r>
      <w:r>
        <w:rPr>
          <w:rFonts w:ascii="Times New Roman" w:hAnsi="Times New Roman" w:cs="Times New Roman"/>
          <w:iCs/>
          <w:sz w:val="24"/>
        </w:rPr>
        <w:t>Institute of Animal Biology, Lviv, Ukraine</w:t>
      </w:r>
      <w:r w:rsidR="00DF04E3" w:rsidRPr="00DF04E3">
        <w:rPr>
          <w:rFonts w:ascii="Times New Roman" w:hAnsi="Times New Roman" w:cs="Times New Roman"/>
          <w:iCs/>
          <w:sz w:val="24"/>
        </w:rPr>
        <w:t xml:space="preserve"> and postdoctoral studies </w:t>
      </w:r>
      <w:r>
        <w:rPr>
          <w:rFonts w:ascii="Times New Roman" w:hAnsi="Times New Roman" w:cs="Times New Roman"/>
          <w:iCs/>
          <w:sz w:val="24"/>
        </w:rPr>
        <w:t>at the</w:t>
      </w:r>
      <w:r w:rsidR="00DF04E3" w:rsidRPr="00DF04E3">
        <w:rPr>
          <w:rFonts w:ascii="Times New Roman" w:hAnsi="Times New Roman" w:cs="Times New Roman"/>
          <w:iCs/>
          <w:sz w:val="24"/>
        </w:rPr>
        <w:t xml:space="preserve"> </w:t>
      </w:r>
      <w:r>
        <w:rPr>
          <w:rFonts w:ascii="Times New Roman" w:hAnsi="Times New Roman" w:cs="Times New Roman"/>
          <w:iCs/>
          <w:sz w:val="24"/>
        </w:rPr>
        <w:t>Netherlands Cancer Institute, Amsterdam and University of North Carolina, Chapel Hill, NC, USA</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Currently </w:t>
      </w:r>
      <w:r w:rsidRPr="00DF04E3">
        <w:rPr>
          <w:rFonts w:ascii="Times New Roman" w:hAnsi="Times New Roman" w:cs="Times New Roman"/>
          <w:iCs/>
          <w:sz w:val="24"/>
        </w:rPr>
        <w:t xml:space="preserve">he </w:t>
      </w:r>
      <w:r w:rsidR="00DF04E3" w:rsidRPr="00DF04E3">
        <w:rPr>
          <w:rFonts w:ascii="Times New Roman" w:hAnsi="Times New Roman" w:cs="Times New Roman"/>
          <w:iCs/>
          <w:sz w:val="24"/>
        </w:rPr>
        <w:t xml:space="preserve">is the </w:t>
      </w:r>
      <w:r>
        <w:rPr>
          <w:rFonts w:ascii="Times New Roman" w:hAnsi="Times New Roman" w:cs="Times New Roman"/>
          <w:iCs/>
          <w:sz w:val="24"/>
        </w:rPr>
        <w:t xml:space="preserve">Associate Professor at the Rzeszów University, Poland and the Senior Scientist at the Institute of Cell Biology, Lviv, Ukraine. </w:t>
      </w:r>
      <w:r w:rsidR="00DF04E3" w:rsidRPr="00DF04E3">
        <w:rPr>
          <w:rFonts w:ascii="Times New Roman" w:hAnsi="Times New Roman" w:cs="Times New Roman"/>
          <w:iCs/>
          <w:sz w:val="24"/>
        </w:rPr>
        <w:t xml:space="preserve">He has published more than </w:t>
      </w:r>
      <w:r>
        <w:rPr>
          <w:rFonts w:ascii="Times New Roman" w:hAnsi="Times New Roman" w:cs="Times New Roman"/>
          <w:iCs/>
          <w:sz w:val="24"/>
        </w:rPr>
        <w:t>30</w:t>
      </w:r>
      <w:r w:rsidR="00DF04E3" w:rsidRPr="00DF04E3">
        <w:rPr>
          <w:rFonts w:ascii="Times New Roman" w:hAnsi="Times New Roman" w:cs="Times New Roman"/>
          <w:iCs/>
          <w:sz w:val="24"/>
        </w:rPr>
        <w:t xml:space="preserve"> papers in reputed journals </w:t>
      </w:r>
      <w:r>
        <w:rPr>
          <w:rFonts w:ascii="Times New Roman" w:hAnsi="Times New Roman" w:cs="Times New Roman"/>
          <w:iCs/>
          <w:sz w:val="24"/>
        </w:rPr>
        <w:t>including Nature and Science</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US"/>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BD3FE5" w:rsidRPr="00B27DCF">
          <w:rPr>
            <w:rStyle w:val="Hyperlink"/>
            <w:sz w:val="28"/>
            <w:szCs w:val="28"/>
          </w:rPr>
          <w:t>olexkor@hotmail.com</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B27" w:rsidRDefault="00947B27" w:rsidP="00495C76">
      <w:pPr>
        <w:spacing w:after="0" w:line="240" w:lineRule="auto"/>
      </w:pPr>
      <w:r>
        <w:separator/>
      </w:r>
    </w:p>
  </w:endnote>
  <w:endnote w:type="continuationSeparator" w:id="0">
    <w:p w:rsidR="00947B27" w:rsidRDefault="00947B2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B27" w:rsidRDefault="00947B27" w:rsidP="00495C76">
      <w:pPr>
        <w:spacing w:after="0" w:line="240" w:lineRule="auto"/>
      </w:pPr>
      <w:r>
        <w:separator/>
      </w:r>
    </w:p>
  </w:footnote>
  <w:footnote w:type="continuationSeparator" w:id="0">
    <w:p w:rsidR="00947B27" w:rsidRDefault="00947B2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07E"/>
    <w:rsid w:val="00333E31"/>
    <w:rsid w:val="0038483D"/>
    <w:rsid w:val="003F0B19"/>
    <w:rsid w:val="00435234"/>
    <w:rsid w:val="00495C76"/>
    <w:rsid w:val="00627419"/>
    <w:rsid w:val="00947B27"/>
    <w:rsid w:val="00B3082B"/>
    <w:rsid w:val="00B6703B"/>
    <w:rsid w:val="00BA654F"/>
    <w:rsid w:val="00BD3FE5"/>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0FBA09-5903-4AA6-A243-587FF4FB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F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BD3F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olexkor@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Olex</cp:lastModifiedBy>
  <cp:revision>3</cp:revision>
  <dcterms:created xsi:type="dcterms:W3CDTF">2018-03-12T21:56:00Z</dcterms:created>
  <dcterms:modified xsi:type="dcterms:W3CDTF">2018-03-12T21:58:00Z</dcterms:modified>
</cp:coreProperties>
</file>