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D6B" w:rsidRPr="00D36E58" w:rsidRDefault="00264D6B" w:rsidP="00264D6B">
      <w:pPr>
        <w:spacing w:line="480" w:lineRule="auto"/>
        <w:jc w:val="center"/>
        <w:rPr>
          <w:rFonts w:asciiTheme="majorBidi" w:hAnsiTheme="majorBidi" w:cstheme="majorBidi"/>
          <w:sz w:val="24"/>
          <w:szCs w:val="24"/>
          <w:vertAlign w:val="superscript"/>
        </w:rPr>
      </w:pPr>
      <w:r w:rsidRPr="00D36E58">
        <w:rPr>
          <w:rFonts w:asciiTheme="majorBidi" w:hAnsiTheme="majorBidi" w:cstheme="majorBidi"/>
          <w:b/>
          <w:bCs/>
          <w:sz w:val="24"/>
          <w:szCs w:val="24"/>
        </w:rPr>
        <w:t>Rim Serhal</w:t>
      </w:r>
      <w:r w:rsidRPr="00D36E58">
        <w:rPr>
          <w:rFonts w:asciiTheme="majorBidi" w:hAnsiTheme="majorBidi" w:cstheme="majorBidi"/>
          <w:b/>
          <w:bCs/>
          <w:sz w:val="24"/>
          <w:szCs w:val="24"/>
          <w:vertAlign w:val="superscript"/>
        </w:rPr>
        <w:t>1</w:t>
      </w:r>
      <w:r w:rsidRPr="00D36E58">
        <w:rPr>
          <w:rFonts w:asciiTheme="majorBidi" w:hAnsiTheme="majorBidi" w:cstheme="majorBidi"/>
          <w:b/>
          <w:bCs/>
          <w:sz w:val="24"/>
          <w:szCs w:val="24"/>
        </w:rPr>
        <w:t xml:space="preserve">, </w:t>
      </w:r>
      <w:proofErr w:type="spellStart"/>
      <w:r>
        <w:rPr>
          <w:rFonts w:asciiTheme="majorBidi" w:hAnsiTheme="majorBidi" w:cstheme="majorBidi"/>
          <w:b/>
          <w:bCs/>
          <w:sz w:val="24"/>
          <w:szCs w:val="24"/>
        </w:rPr>
        <w:t>Nagib</w:t>
      </w:r>
      <w:proofErr w:type="spellEnd"/>
      <w:r>
        <w:rPr>
          <w:rFonts w:asciiTheme="majorBidi" w:hAnsiTheme="majorBidi" w:cstheme="majorBidi"/>
          <w:b/>
          <w:bCs/>
          <w:sz w:val="24"/>
          <w:szCs w:val="24"/>
        </w:rPr>
        <w:t xml:space="preserve"> Saliba</w:t>
      </w:r>
      <w:r>
        <w:rPr>
          <w:rFonts w:asciiTheme="majorBidi" w:hAnsiTheme="majorBidi" w:cstheme="majorBidi"/>
          <w:b/>
          <w:bCs/>
          <w:sz w:val="24"/>
          <w:szCs w:val="24"/>
          <w:vertAlign w:val="superscript"/>
        </w:rPr>
        <w:t>4</w:t>
      </w:r>
      <w:r>
        <w:rPr>
          <w:rFonts w:asciiTheme="majorBidi" w:hAnsiTheme="majorBidi" w:cstheme="majorBidi"/>
          <w:b/>
          <w:bCs/>
          <w:sz w:val="24"/>
          <w:szCs w:val="24"/>
        </w:rPr>
        <w:t>,</w:t>
      </w:r>
      <w:r w:rsidRPr="00D36E58">
        <w:rPr>
          <w:rFonts w:asciiTheme="majorBidi" w:hAnsiTheme="majorBidi" w:cstheme="majorBidi"/>
          <w:b/>
          <w:bCs/>
          <w:sz w:val="24"/>
          <w:szCs w:val="24"/>
        </w:rPr>
        <w:t xml:space="preserve"> George Hilal</w:t>
      </w:r>
      <w:r w:rsidRPr="00D36E58">
        <w:rPr>
          <w:rFonts w:asciiTheme="majorBidi" w:hAnsiTheme="majorBidi" w:cstheme="majorBidi"/>
          <w:b/>
          <w:bCs/>
          <w:sz w:val="24"/>
          <w:szCs w:val="24"/>
          <w:vertAlign w:val="superscript"/>
        </w:rPr>
        <w:t>2</w:t>
      </w:r>
      <w:r w:rsidRPr="00D36E58">
        <w:rPr>
          <w:rFonts w:asciiTheme="majorBidi" w:hAnsiTheme="majorBidi" w:cstheme="majorBidi"/>
          <w:b/>
          <w:bCs/>
          <w:sz w:val="24"/>
          <w:szCs w:val="24"/>
        </w:rPr>
        <w:t xml:space="preserve">, </w:t>
      </w:r>
      <w:proofErr w:type="spellStart"/>
      <w:r w:rsidRPr="00D36E58">
        <w:rPr>
          <w:rFonts w:asciiTheme="majorBidi" w:hAnsiTheme="majorBidi" w:cstheme="majorBidi"/>
          <w:b/>
          <w:bCs/>
          <w:sz w:val="24"/>
          <w:szCs w:val="24"/>
        </w:rPr>
        <w:t>Mayssam</w:t>
      </w:r>
      <w:proofErr w:type="spellEnd"/>
      <w:r w:rsidRPr="00D36E58">
        <w:rPr>
          <w:rFonts w:asciiTheme="majorBidi" w:hAnsiTheme="majorBidi" w:cstheme="majorBidi"/>
          <w:b/>
          <w:bCs/>
          <w:sz w:val="24"/>
          <w:szCs w:val="24"/>
        </w:rPr>
        <w:t xml:space="preserve"> Moussa</w:t>
      </w:r>
      <w:r w:rsidRPr="00D36E58">
        <w:rPr>
          <w:rFonts w:asciiTheme="majorBidi" w:hAnsiTheme="majorBidi" w:cstheme="majorBidi"/>
          <w:b/>
          <w:bCs/>
          <w:sz w:val="24"/>
          <w:szCs w:val="24"/>
          <w:vertAlign w:val="superscript"/>
        </w:rPr>
        <w:t>1</w:t>
      </w:r>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Ghada</w:t>
      </w:r>
      <w:proofErr w:type="spellEnd"/>
      <w:r>
        <w:rPr>
          <w:rFonts w:asciiTheme="majorBidi" w:hAnsiTheme="majorBidi" w:cstheme="majorBidi"/>
          <w:b/>
          <w:bCs/>
          <w:sz w:val="24"/>
          <w:szCs w:val="24"/>
        </w:rPr>
        <w:t xml:space="preserve"> Hassan</w:t>
      </w:r>
      <w:r>
        <w:rPr>
          <w:rFonts w:asciiTheme="majorBidi" w:hAnsiTheme="majorBidi" w:cstheme="majorBidi"/>
          <w:b/>
          <w:bCs/>
          <w:sz w:val="24"/>
          <w:szCs w:val="24"/>
          <w:vertAlign w:val="superscript"/>
        </w:rPr>
        <w:t>3</w:t>
      </w:r>
      <w:r>
        <w:rPr>
          <w:rFonts w:asciiTheme="majorBidi" w:hAnsiTheme="majorBidi" w:cstheme="majorBidi"/>
          <w:b/>
          <w:bCs/>
          <w:sz w:val="24"/>
          <w:szCs w:val="24"/>
        </w:rPr>
        <w:t xml:space="preserve">, </w:t>
      </w:r>
      <w:proofErr w:type="spellStart"/>
      <w:r w:rsidRPr="00D36E58">
        <w:rPr>
          <w:rFonts w:asciiTheme="majorBidi" w:hAnsiTheme="majorBidi" w:cstheme="majorBidi"/>
          <w:b/>
          <w:bCs/>
          <w:sz w:val="24"/>
          <w:szCs w:val="24"/>
        </w:rPr>
        <w:t>Riad</w:t>
      </w:r>
      <w:proofErr w:type="spellEnd"/>
      <w:r w:rsidRPr="00D36E58">
        <w:rPr>
          <w:rFonts w:asciiTheme="majorBidi" w:hAnsiTheme="majorBidi" w:cstheme="majorBidi"/>
          <w:b/>
          <w:bCs/>
          <w:sz w:val="24"/>
          <w:szCs w:val="24"/>
        </w:rPr>
        <w:t xml:space="preserve"> Sarkis</w:t>
      </w:r>
      <w:r>
        <w:rPr>
          <w:rFonts w:asciiTheme="majorBidi" w:hAnsiTheme="majorBidi" w:cstheme="majorBidi"/>
          <w:b/>
          <w:bCs/>
          <w:sz w:val="24"/>
          <w:szCs w:val="24"/>
          <w:vertAlign w:val="superscript"/>
        </w:rPr>
        <w:t>4</w:t>
      </w:r>
      <w:r w:rsidRPr="00D36E58">
        <w:rPr>
          <w:rFonts w:asciiTheme="majorBidi" w:hAnsiTheme="majorBidi" w:cstheme="majorBidi"/>
          <w:b/>
          <w:bCs/>
          <w:sz w:val="24"/>
          <w:szCs w:val="24"/>
        </w:rPr>
        <w:t xml:space="preserve">, </w:t>
      </w:r>
      <w:proofErr w:type="spellStart"/>
      <w:r w:rsidRPr="00D36E58">
        <w:rPr>
          <w:rFonts w:asciiTheme="majorBidi" w:hAnsiTheme="majorBidi" w:cstheme="majorBidi"/>
          <w:b/>
          <w:bCs/>
          <w:sz w:val="24"/>
          <w:szCs w:val="24"/>
        </w:rPr>
        <w:t>Oula</w:t>
      </w:r>
      <w:proofErr w:type="spellEnd"/>
      <w:r w:rsidRPr="00D36E58">
        <w:rPr>
          <w:rFonts w:asciiTheme="majorBidi" w:hAnsiTheme="majorBidi" w:cstheme="majorBidi"/>
          <w:b/>
          <w:bCs/>
          <w:sz w:val="24"/>
          <w:szCs w:val="24"/>
        </w:rPr>
        <w:t xml:space="preserve"> El Atat</w:t>
      </w:r>
      <w:r w:rsidRPr="00D36E58">
        <w:rPr>
          <w:rFonts w:asciiTheme="majorBidi" w:hAnsiTheme="majorBidi" w:cstheme="majorBidi"/>
          <w:b/>
          <w:bCs/>
          <w:sz w:val="24"/>
          <w:szCs w:val="24"/>
          <w:vertAlign w:val="superscript"/>
        </w:rPr>
        <w:t>1</w:t>
      </w:r>
      <w:r w:rsidRPr="00D36E58">
        <w:rPr>
          <w:rFonts w:asciiTheme="majorBidi" w:hAnsiTheme="majorBidi" w:cstheme="majorBidi"/>
          <w:b/>
          <w:bCs/>
          <w:sz w:val="24"/>
          <w:szCs w:val="24"/>
        </w:rPr>
        <w:t xml:space="preserve">, </w:t>
      </w:r>
      <w:proofErr w:type="spellStart"/>
      <w:r w:rsidRPr="00D36E58">
        <w:rPr>
          <w:rFonts w:asciiTheme="majorBidi" w:hAnsiTheme="majorBidi" w:cstheme="majorBidi"/>
          <w:b/>
          <w:bCs/>
          <w:sz w:val="24"/>
          <w:szCs w:val="24"/>
        </w:rPr>
        <w:t>Charbel</w:t>
      </w:r>
      <w:proofErr w:type="spellEnd"/>
      <w:r w:rsidRPr="00D36E58">
        <w:rPr>
          <w:rFonts w:asciiTheme="majorBidi" w:hAnsiTheme="majorBidi" w:cstheme="majorBidi"/>
          <w:b/>
          <w:bCs/>
          <w:sz w:val="24"/>
          <w:szCs w:val="24"/>
        </w:rPr>
        <w:t xml:space="preserve"> Khalil</w:t>
      </w:r>
      <w:r w:rsidRPr="00D36E58">
        <w:rPr>
          <w:rFonts w:asciiTheme="majorBidi" w:hAnsiTheme="majorBidi" w:cstheme="majorBidi"/>
          <w:b/>
          <w:bCs/>
          <w:sz w:val="24"/>
          <w:szCs w:val="24"/>
          <w:vertAlign w:val="superscript"/>
        </w:rPr>
        <w:t>1</w:t>
      </w:r>
      <w:r w:rsidRPr="00D36E58">
        <w:rPr>
          <w:rFonts w:asciiTheme="majorBidi" w:hAnsiTheme="majorBidi" w:cstheme="majorBidi"/>
          <w:b/>
          <w:bCs/>
          <w:sz w:val="24"/>
          <w:szCs w:val="24"/>
        </w:rPr>
        <w:t>, Nada Alaaeddine</w:t>
      </w:r>
      <w:r w:rsidRPr="00D36E58">
        <w:rPr>
          <w:rFonts w:asciiTheme="majorBidi" w:hAnsiTheme="majorBidi" w:cstheme="majorBidi"/>
          <w:b/>
          <w:bCs/>
          <w:sz w:val="24"/>
          <w:szCs w:val="24"/>
          <w:vertAlign w:val="superscript"/>
        </w:rPr>
        <w:t>1*</w:t>
      </w:r>
      <w:bookmarkStart w:id="0" w:name="_GoBack"/>
      <w:bookmarkEnd w:id="0"/>
    </w:p>
    <w:p w:rsidR="00264D6B" w:rsidRPr="00D36E58" w:rsidRDefault="00264D6B" w:rsidP="00264D6B">
      <w:pPr>
        <w:outlineLvl w:val="0"/>
        <w:rPr>
          <w:rFonts w:asciiTheme="majorBidi" w:hAnsiTheme="majorBidi" w:cstheme="majorBidi"/>
          <w:sz w:val="24"/>
          <w:szCs w:val="24"/>
        </w:rPr>
      </w:pPr>
      <w:r w:rsidRPr="00D36E58">
        <w:rPr>
          <w:rFonts w:asciiTheme="majorBidi" w:hAnsiTheme="majorBidi" w:cstheme="majorBidi"/>
          <w:sz w:val="24"/>
          <w:szCs w:val="24"/>
        </w:rPr>
        <w:t>Abstract</w:t>
      </w:r>
    </w:p>
    <w:p w:rsidR="00264D6B" w:rsidRDefault="00264D6B" w:rsidP="00264D6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Background: </w:t>
      </w:r>
      <w:r w:rsidRPr="00D36E58">
        <w:rPr>
          <w:rFonts w:asciiTheme="majorBidi" w:hAnsiTheme="majorBidi" w:cstheme="majorBidi"/>
          <w:sz w:val="24"/>
          <w:szCs w:val="24"/>
        </w:rPr>
        <w:t>Hepatocellular carcinoma (HCC) is a malignant condition with higher incidence and no effective treatment. Adipose derived stem cells (ADMSCs) have been shown to exhibit</w:t>
      </w:r>
      <w:r>
        <w:rPr>
          <w:rFonts w:asciiTheme="majorBidi" w:hAnsiTheme="majorBidi" w:cstheme="majorBidi"/>
          <w:sz w:val="24"/>
          <w:szCs w:val="24"/>
        </w:rPr>
        <w:t xml:space="preserve"> </w:t>
      </w:r>
      <w:r w:rsidRPr="00D36E58">
        <w:rPr>
          <w:rFonts w:asciiTheme="majorBidi" w:hAnsiTheme="majorBidi" w:cstheme="majorBidi"/>
          <w:sz w:val="24"/>
          <w:szCs w:val="24"/>
        </w:rPr>
        <w:t>therapeutic efficacy in many diseases; however, their influence on cancer is not clear.</w:t>
      </w:r>
      <w:r>
        <w:rPr>
          <w:rFonts w:asciiTheme="majorBidi" w:hAnsiTheme="majorBidi" w:cstheme="majorBidi"/>
          <w:sz w:val="24"/>
          <w:szCs w:val="24"/>
        </w:rPr>
        <w:t xml:space="preserve"> </w:t>
      </w:r>
      <w:r w:rsidRPr="00D36E58">
        <w:rPr>
          <w:rFonts w:asciiTheme="majorBidi" w:hAnsiTheme="majorBidi" w:cstheme="majorBidi"/>
          <w:sz w:val="24"/>
          <w:szCs w:val="24"/>
        </w:rPr>
        <w:t>In this study, we investigated the effect of ADMSCs and their conditioned media (CM) on biological responses of HCC cell lines, namely HepG2 and PLC-PRF-5 cells.</w:t>
      </w:r>
    </w:p>
    <w:p w:rsidR="00264D6B" w:rsidRDefault="00264D6B" w:rsidP="00264D6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Methods: Proliferation rate was measured using cell counting kit-8. Apoptosis level and intracellular interleukin expression were determined by flow cytometry. Protein and mRNA expressions were measured by ELISA and real time PCR respectively. Migration and invasion rates were detected by </w:t>
      </w:r>
      <w:proofErr w:type="spellStart"/>
      <w:r>
        <w:rPr>
          <w:rFonts w:asciiTheme="majorBidi" w:hAnsiTheme="majorBidi" w:cstheme="majorBidi"/>
          <w:sz w:val="24"/>
          <w:szCs w:val="24"/>
        </w:rPr>
        <w:t>transwell</w:t>
      </w:r>
      <w:proofErr w:type="spellEnd"/>
      <w:r>
        <w:rPr>
          <w:rFonts w:asciiTheme="majorBidi" w:hAnsiTheme="majorBidi" w:cstheme="majorBidi"/>
          <w:sz w:val="24"/>
          <w:szCs w:val="24"/>
        </w:rPr>
        <w:t xml:space="preserve"> migration and invasion assay.</w:t>
      </w:r>
    </w:p>
    <w:p w:rsidR="00264D6B" w:rsidRDefault="00264D6B" w:rsidP="00264D6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Results: </w:t>
      </w:r>
      <w:r w:rsidRPr="00D36E58">
        <w:rPr>
          <w:rFonts w:asciiTheme="majorBidi" w:hAnsiTheme="majorBidi" w:cstheme="majorBidi"/>
          <w:sz w:val="24"/>
          <w:szCs w:val="24"/>
        </w:rPr>
        <w:t>Our data demonstrated that ADMSCs and their CM significantly inhibited the proliferation and increased the apoptosis of HepG2 and PLC-PRF-5 cells, along with an upregulation of the P53/Retinoblastoma mRNA and a downregulation of that of c-</w:t>
      </w:r>
      <w:proofErr w:type="spellStart"/>
      <w:r w:rsidRPr="00D36E58">
        <w:rPr>
          <w:rFonts w:asciiTheme="majorBidi" w:hAnsiTheme="majorBidi" w:cstheme="majorBidi"/>
          <w:sz w:val="24"/>
          <w:szCs w:val="24"/>
        </w:rPr>
        <w:t>Myc</w:t>
      </w:r>
      <w:proofErr w:type="spellEnd"/>
      <w:r w:rsidRPr="00D36E58">
        <w:rPr>
          <w:rFonts w:asciiTheme="majorBidi" w:hAnsiTheme="majorBidi" w:cstheme="majorBidi"/>
          <w:sz w:val="24"/>
          <w:szCs w:val="24"/>
        </w:rPr>
        <w:t>/</w:t>
      </w:r>
      <w:proofErr w:type="spellStart"/>
      <w:r w:rsidRPr="00D36E58">
        <w:rPr>
          <w:rFonts w:asciiTheme="majorBidi" w:hAnsiTheme="majorBidi" w:cstheme="majorBidi"/>
          <w:sz w:val="24"/>
          <w:szCs w:val="24"/>
        </w:rPr>
        <w:t>hTERT</w:t>
      </w:r>
      <w:proofErr w:type="spellEnd"/>
      <w:r w:rsidRPr="00D36E58">
        <w:rPr>
          <w:rFonts w:asciiTheme="majorBidi" w:hAnsiTheme="majorBidi" w:cstheme="majorBidi"/>
          <w:sz w:val="24"/>
          <w:szCs w:val="24"/>
        </w:rPr>
        <w:t>. Co-culturing HCC cell lines with ADMSCs or treating them with ADMSC</w:t>
      </w:r>
      <w:r>
        <w:rPr>
          <w:rFonts w:asciiTheme="majorBidi" w:hAnsiTheme="majorBidi" w:cstheme="majorBidi"/>
          <w:sz w:val="24"/>
          <w:szCs w:val="24"/>
        </w:rPr>
        <w:t>s</w:t>
      </w:r>
      <w:r w:rsidRPr="00D36E58">
        <w:rPr>
          <w:rFonts w:asciiTheme="majorBidi" w:hAnsiTheme="majorBidi" w:cstheme="majorBidi"/>
          <w:sz w:val="24"/>
          <w:szCs w:val="24"/>
        </w:rPr>
        <w:t xml:space="preserve"> CM also suppressed their expression of alpha-fetoprotein and Des-γ-</w:t>
      </w:r>
      <w:proofErr w:type="spellStart"/>
      <w:r w:rsidRPr="00D36E58">
        <w:rPr>
          <w:rFonts w:asciiTheme="majorBidi" w:hAnsiTheme="majorBidi" w:cstheme="majorBidi"/>
          <w:sz w:val="24"/>
          <w:szCs w:val="24"/>
        </w:rPr>
        <w:t>carboxyprothrombin</w:t>
      </w:r>
      <w:proofErr w:type="spellEnd"/>
      <w:r w:rsidRPr="00D36E58">
        <w:rPr>
          <w:rFonts w:asciiTheme="majorBidi" w:hAnsiTheme="majorBidi" w:cstheme="majorBidi"/>
          <w:sz w:val="24"/>
          <w:szCs w:val="24"/>
        </w:rPr>
        <w:t>, two important markers of carcinogenicity in HCC. Moreover, ADMSCs and ADMSC</w:t>
      </w:r>
      <w:r>
        <w:rPr>
          <w:rFonts w:asciiTheme="majorBidi" w:hAnsiTheme="majorBidi" w:cstheme="majorBidi"/>
          <w:sz w:val="24"/>
          <w:szCs w:val="24"/>
        </w:rPr>
        <w:t>s</w:t>
      </w:r>
      <w:r w:rsidRPr="00D36E58">
        <w:rPr>
          <w:rFonts w:asciiTheme="majorBidi" w:hAnsiTheme="majorBidi" w:cstheme="majorBidi"/>
          <w:sz w:val="24"/>
          <w:szCs w:val="24"/>
        </w:rPr>
        <w:t xml:space="preserve"> CM diminished migration and invasion levels of the HepG2 and PLC-PRF-5</w:t>
      </w:r>
      <w:r>
        <w:rPr>
          <w:rFonts w:asciiTheme="majorBidi" w:hAnsiTheme="majorBidi" w:cstheme="majorBidi"/>
          <w:sz w:val="24"/>
          <w:szCs w:val="24"/>
        </w:rPr>
        <w:t xml:space="preserve"> </w:t>
      </w:r>
      <w:r w:rsidRPr="00D36E58">
        <w:rPr>
          <w:rFonts w:asciiTheme="majorBidi" w:hAnsiTheme="majorBidi" w:cstheme="majorBidi"/>
          <w:sz w:val="24"/>
          <w:szCs w:val="24"/>
        </w:rPr>
        <w:t xml:space="preserve">cells, possibly through increased expression of tissue inhibitor </w:t>
      </w:r>
      <w:proofErr w:type="spellStart"/>
      <w:r w:rsidRPr="00D36E58">
        <w:rPr>
          <w:rFonts w:asciiTheme="majorBidi" w:hAnsiTheme="majorBidi" w:cstheme="majorBidi"/>
          <w:sz w:val="24"/>
          <w:szCs w:val="24"/>
        </w:rPr>
        <w:t>metalloproteinases</w:t>
      </w:r>
      <w:proofErr w:type="spellEnd"/>
      <w:r w:rsidRPr="00D36E58">
        <w:rPr>
          <w:rFonts w:asciiTheme="majorBidi" w:hAnsiTheme="majorBidi" w:cstheme="majorBidi"/>
          <w:sz w:val="24"/>
          <w:szCs w:val="24"/>
        </w:rPr>
        <w:t xml:space="preserve">, namely TIMP-1, TIMP-2 and TIMP-3 and anti-inflammatory cytokines, namely IL-4, IL-10 and IL-13. </w:t>
      </w:r>
    </w:p>
    <w:p w:rsidR="00264D6B" w:rsidRPr="00D36E58" w:rsidRDefault="00264D6B" w:rsidP="00264D6B">
      <w:p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Conclusion: </w:t>
      </w:r>
      <w:r w:rsidRPr="00D36E58">
        <w:rPr>
          <w:rFonts w:asciiTheme="majorBidi" w:hAnsiTheme="majorBidi" w:cstheme="majorBidi"/>
          <w:sz w:val="24"/>
          <w:szCs w:val="24"/>
        </w:rPr>
        <w:t>These findings highlight an important role for ADMSC</w:t>
      </w:r>
      <w:r>
        <w:rPr>
          <w:rFonts w:asciiTheme="majorBidi" w:hAnsiTheme="majorBidi" w:cstheme="majorBidi"/>
          <w:sz w:val="24"/>
          <w:szCs w:val="24"/>
        </w:rPr>
        <w:t>s</w:t>
      </w:r>
      <w:r w:rsidRPr="00D36E58">
        <w:rPr>
          <w:rFonts w:asciiTheme="majorBidi" w:hAnsiTheme="majorBidi" w:cstheme="majorBidi"/>
          <w:sz w:val="24"/>
          <w:szCs w:val="24"/>
        </w:rPr>
        <w:t xml:space="preserve"> and their CM in controlling the invasiveness and carcinogenesis of HCC, and suggest their therapeutic efficiency in the treatment of the disease. </w:t>
      </w:r>
    </w:p>
    <w:p w:rsidR="00AB6459" w:rsidRDefault="00AB6459"/>
    <w:sectPr w:rsidR="00AB64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F3B" w:rsidRDefault="00AE2F3B" w:rsidP="00264D6B">
      <w:pPr>
        <w:spacing w:after="0" w:line="240" w:lineRule="auto"/>
      </w:pPr>
      <w:r>
        <w:separator/>
      </w:r>
    </w:p>
  </w:endnote>
  <w:endnote w:type="continuationSeparator" w:id="0">
    <w:p w:rsidR="00AE2F3B" w:rsidRDefault="00AE2F3B" w:rsidP="00264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F3B" w:rsidRDefault="00AE2F3B" w:rsidP="00264D6B">
      <w:pPr>
        <w:spacing w:after="0" w:line="240" w:lineRule="auto"/>
      </w:pPr>
      <w:r>
        <w:separator/>
      </w:r>
    </w:p>
  </w:footnote>
  <w:footnote w:type="continuationSeparator" w:id="0">
    <w:p w:rsidR="00AE2F3B" w:rsidRDefault="00AE2F3B" w:rsidP="00264D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D6B"/>
    <w:rsid w:val="00264D6B"/>
    <w:rsid w:val="00AB6459"/>
    <w:rsid w:val="00AE2F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3AAF0"/>
  <w15:chartTrackingRefBased/>
  <w15:docId w15:val="{930D1F64-37FA-4267-8CDD-5798C559F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D6B"/>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D6B"/>
    <w:rPr>
      <w:rFonts w:ascii="Calibri" w:eastAsia="Calibri" w:hAnsi="Calibri" w:cs="Calibri"/>
    </w:rPr>
  </w:style>
  <w:style w:type="paragraph" w:styleId="Footer">
    <w:name w:val="footer"/>
    <w:basedOn w:val="Normal"/>
    <w:link w:val="FooterChar"/>
    <w:uiPriority w:val="99"/>
    <w:unhideWhenUsed/>
    <w:rsid w:val="00264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D6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2017-12-26T04:12:00Z</dcterms:created>
  <dcterms:modified xsi:type="dcterms:W3CDTF">2017-12-26T04:47:00Z</dcterms:modified>
</cp:coreProperties>
</file>