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Rule="auto"/>
        <w:contextualSpacing w:val="0"/>
        <w:rPr>
          <w:b w:val="1"/>
          <w:color w:val="0070c0"/>
        </w:rPr>
      </w:pPr>
      <w:r w:rsidDel="00000000" w:rsidR="00000000" w:rsidRPr="00000000">
        <w:rPr>
          <w:b w:val="1"/>
          <w:color w:val="0070c0"/>
          <w:rtl w:val="0"/>
        </w:rPr>
        <w:t xml:space="preserve">KAYEMBA BRIAN</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1803400</wp:posOffset>
                </wp:positionH>
                <wp:positionV relativeFrom="paragraph">
                  <wp:posOffset>-292098</wp:posOffset>
                </wp:positionV>
                <wp:extent cx="2341245" cy="503555"/>
                <wp:effectExtent b="0" l="0" r="0" t="0"/>
                <wp:wrapNone/>
                <wp:docPr id="2" name=""/>
                <a:graphic>
                  <a:graphicData uri="http://schemas.microsoft.com/office/word/2010/wordprocessingShape">
                    <wps:wsp>
                      <wps:cNvSpPr/>
                      <wps:cNvPr id="2" name="Shape 2"/>
                      <wps:spPr>
                        <a:xfrm>
                          <a:off x="0" y="0"/>
                          <a:ext cx="2341245" cy="503555"/>
                        </a:xfrm>
                        <a:custGeom>
                          <a:rect b="b" l="l" r="r" t="t"/>
                          <a:pathLst>
                            <a:path extrusionOk="0" h="503555" w="2341245">
                              <a:moveTo>
                                <a:pt x="0" y="0"/>
                              </a:moveTo>
                              <a:lnTo>
                                <a:pt x="0" y="503555"/>
                              </a:lnTo>
                              <a:lnTo>
                                <a:pt x="2341245" y="503555"/>
                              </a:lnTo>
                              <a:lnTo>
                                <a:pt x="2341245"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70c0"/>
                                <w:sz w:val="32"/>
                                <w:vertAlign w:val="baseline"/>
                              </w:rPr>
                              <w:t xml:space="preserve">    </w:t>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1803400</wp:posOffset>
                </wp:positionH>
                <wp:positionV relativeFrom="paragraph">
                  <wp:posOffset>-292098</wp:posOffset>
                </wp:positionV>
                <wp:extent cx="2341245" cy="503555"/>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41245" cy="503555"/>
                        </a:xfrm>
                        <a:prstGeom prst="rect"/>
                        <a:ln/>
                      </pic:spPr>
                    </pic:pic>
                  </a:graphicData>
                </a:graphic>
              </wp:anchor>
            </w:drawing>
          </mc:Fallback>
        </mc:AlternateContent>
      </w:r>
    </w:p>
    <w:p w:rsidR="00000000" w:rsidDel="00000000" w:rsidP="00000000" w:rsidRDefault="00000000" w:rsidRPr="00000000" w14:paraId="00000001">
      <w:pPr>
        <w:spacing w:after="0" w:lineRule="auto"/>
        <w:contextualSpacing w:val="0"/>
        <w:rPr>
          <w:b w:val="1"/>
          <w:color w:val="0070c0"/>
        </w:rPr>
      </w:pPr>
      <w:r w:rsidDel="00000000" w:rsidR="00000000" w:rsidRPr="00000000">
        <w:rPr>
          <w:b w:val="1"/>
          <w:color w:val="0070c0"/>
          <w:rtl w:val="0"/>
        </w:rPr>
        <w:t xml:space="preserve">P O BOX 2660</w:t>
      </w:r>
    </w:p>
    <w:p w:rsidR="00000000" w:rsidDel="00000000" w:rsidP="00000000" w:rsidRDefault="00000000" w:rsidRPr="00000000" w14:paraId="00000002">
      <w:pPr>
        <w:spacing w:after="0" w:lineRule="auto"/>
        <w:contextualSpacing w:val="0"/>
        <w:rPr>
          <w:b w:val="1"/>
          <w:color w:val="0070c0"/>
        </w:rPr>
      </w:pPr>
      <w:r w:rsidDel="00000000" w:rsidR="00000000" w:rsidRPr="00000000">
        <w:rPr>
          <w:b w:val="1"/>
          <w:color w:val="0070c0"/>
          <w:rtl w:val="0"/>
        </w:rPr>
        <w:t xml:space="preserve">KAMPALA UGANDA</w:t>
      </w:r>
    </w:p>
    <w:p w:rsidR="00000000" w:rsidDel="00000000" w:rsidP="00000000" w:rsidRDefault="00000000" w:rsidRPr="00000000" w14:paraId="00000003">
      <w:pPr>
        <w:spacing w:after="0" w:lineRule="auto"/>
        <w:contextualSpacing w:val="0"/>
        <w:rPr>
          <w:b w:val="1"/>
          <w:color w:val="0070c0"/>
        </w:rPr>
      </w:pPr>
      <w:r w:rsidDel="00000000" w:rsidR="00000000" w:rsidRPr="00000000">
        <w:rPr>
          <w:b w:val="1"/>
          <w:color w:val="0070c0"/>
          <w:rtl w:val="0"/>
        </w:rPr>
        <w:t xml:space="preserve">+256774875462</w:t>
      </w:r>
    </w:p>
    <w:p w:rsidR="00000000" w:rsidDel="00000000" w:rsidP="00000000" w:rsidRDefault="00000000" w:rsidRPr="00000000" w14:paraId="00000004">
      <w:pPr>
        <w:spacing w:after="0" w:lineRule="auto"/>
        <w:contextualSpacing w:val="0"/>
        <w:rPr>
          <w:b w:val="1"/>
          <w:color w:val="0070c0"/>
        </w:rPr>
      </w:pPr>
      <w:hyperlink r:id="rId7">
        <w:r w:rsidDel="00000000" w:rsidR="00000000" w:rsidRPr="00000000">
          <w:rPr>
            <w:b w:val="1"/>
            <w:color w:val="1155cc"/>
            <w:u w:val="single"/>
            <w:rtl w:val="0"/>
          </w:rPr>
          <w:t xml:space="preserve">Kayembaabbie@gmail.com</w:t>
        </w:r>
      </w:hyperlink>
      <w:r w:rsidDel="00000000" w:rsidR="00000000" w:rsidRPr="00000000">
        <w:rPr>
          <w:rtl w:val="0"/>
        </w:rPr>
      </w:r>
    </w:p>
    <w:p w:rsidR="00000000" w:rsidDel="00000000" w:rsidP="00000000" w:rsidRDefault="00000000" w:rsidRPr="00000000" w14:paraId="00000005">
      <w:pPr>
        <w:spacing w:after="0" w:lineRule="auto"/>
        <w:contextualSpacing w:val="0"/>
        <w:rPr>
          <w:b w:val="1"/>
          <w:color w:val="0070c0"/>
        </w:rPr>
      </w:pPr>
      <w:r w:rsidDel="00000000" w:rsidR="00000000" w:rsidRPr="00000000">
        <w:rPr>
          <w:b w:val="1"/>
          <w:color w:val="0070c0"/>
          <w:rtl w:val="0"/>
        </w:rPr>
        <w:t xml:space="preserve"> </w:t>
      </w:r>
    </w:p>
    <w:p w:rsidR="00000000" w:rsidDel="00000000" w:rsidP="00000000" w:rsidRDefault="00000000" w:rsidRPr="00000000" w14:paraId="00000006">
      <w:pPr>
        <w:spacing w:after="0" w:lineRule="auto"/>
        <w:contextualSpacing w:val="0"/>
        <w:rPr>
          <w:b w:val="1"/>
          <w:color w:val="0070c0"/>
        </w:rPr>
      </w:pPr>
      <w:r w:rsidDel="00000000" w:rsidR="00000000" w:rsidRPr="00000000">
        <w:rPr>
          <w:b w:val="1"/>
          <w:color w:val="0070c0"/>
          <w:rtl w:val="0"/>
        </w:rPr>
        <w:t xml:space="preserve">ABSTRACT </w:t>
      </w:r>
    </w:p>
    <w:p w:rsidR="00000000" w:rsidDel="00000000" w:rsidP="00000000" w:rsidRDefault="00000000" w:rsidRPr="00000000" w14:paraId="00000007">
      <w:pPr>
        <w:spacing w:after="0" w:lineRule="auto"/>
        <w:contextualSpacing w:val="0"/>
        <w:rPr>
          <w:b w:val="1"/>
          <w:color w:val="ff00ff"/>
        </w:rPr>
      </w:pPr>
      <w:r w:rsidDel="00000000" w:rsidR="00000000" w:rsidRPr="00000000">
        <w:rPr>
          <w:b w:val="1"/>
          <w:color w:val="ff00ff"/>
          <w:rtl w:val="0"/>
        </w:rPr>
        <w:t xml:space="preserve">SEXUALLY TRANSMITTED DISEASES AND INFECTIONS</w:t>
      </w:r>
    </w:p>
    <w:p w:rsidR="00000000" w:rsidDel="00000000" w:rsidP="00000000" w:rsidRDefault="00000000" w:rsidRPr="00000000" w14:paraId="00000008">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09">
      <w:pPr>
        <w:spacing w:after="0" w:lineRule="auto"/>
        <w:contextualSpacing w:val="0"/>
        <w:rPr>
          <w:b w:val="1"/>
          <w:color w:val="0070c0"/>
        </w:rPr>
      </w:pPr>
      <w:r w:rsidDel="00000000" w:rsidR="00000000" w:rsidRPr="00000000">
        <w:rPr>
          <w:b w:val="1"/>
          <w:color w:val="0070c0"/>
          <w:rtl w:val="0"/>
        </w:rPr>
        <w:t xml:space="preserve"> Sexually transmitted infections (STIs) are spread primarily through sexual contact and are a major cause of morbidity and mortality worldwide. Once identified, some STIs can be cured following appropriate therapy; for others, suppressive regimens and approaches to prevent ongoing transmission are important. The incidence of many common STIs is increasing in the US as well as worldwide, and hundreds of millions of people are currently infected. Laboratory testing plays a major role in the diagnosis and treatment of STIs, and clinical laboratorians should be familiar with the current guidelines and methods for testing.</w:t>
      </w:r>
    </w:p>
    <w:p w:rsidR="00000000" w:rsidDel="00000000" w:rsidP="00000000" w:rsidRDefault="00000000" w:rsidRPr="00000000" w14:paraId="0000000A">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0B">
      <w:pPr>
        <w:spacing w:after="0" w:lineRule="auto"/>
        <w:contextualSpacing w:val="0"/>
        <w:rPr>
          <w:b w:val="1"/>
          <w:color w:val="0070c0"/>
        </w:rPr>
      </w:pPr>
      <w:r w:rsidDel="00000000" w:rsidR="00000000" w:rsidRPr="00000000">
        <w:rPr>
          <w:b w:val="1"/>
          <w:color w:val="0070c0"/>
          <w:rtl w:val="0"/>
        </w:rPr>
        <w:t xml:space="preserve"> Accurate and sensitive methods to diagnose STIs are essential to direct appropriate antimicrobial therapy and interrupt the cycle of disease transmission. This review summarizes laboratory testing for common bacterial, viral, and parasitic causes of STIs. Disease manifestations reviewed include cervicitis and urethritis, genital ulcerative disease, human immunodeficiency virus, viral hepatitis, human papilloma virus, and vaginitis. Recent advancements in the recognition and management of STIs, including updates to diagnostic algorithms, advances in testing methods, and emerging challenges with antimicrobial resistance, are summarized.</w:t>
      </w:r>
    </w:p>
    <w:p w:rsidR="00000000" w:rsidDel="00000000" w:rsidP="00000000" w:rsidRDefault="00000000" w:rsidRPr="00000000" w14:paraId="0000000C">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0D">
      <w:pPr>
        <w:spacing w:after="0" w:lineRule="auto"/>
        <w:contextualSpacing w:val="0"/>
        <w:rPr>
          <w:b w:val="1"/>
          <w:color w:val="0070c0"/>
        </w:rPr>
      </w:pPr>
      <w:r w:rsidDel="00000000" w:rsidR="00000000" w:rsidRPr="00000000">
        <w:rPr>
          <w:b w:val="1"/>
          <w:color w:val="0070c0"/>
          <w:rtl w:val="0"/>
        </w:rPr>
        <w:t xml:space="preserve"> Diagnostic methods and therapeutic guidelines for STIs are rapidly evolving. In combination with changing epidemiology, the development of novel therapeutics, and advancements in diagnostic methods, this has resulted in changing practices in laboratory testing and, subsequently, management of disease. Molecular methods have facilitated personalized therapy and follow-up regimens targeted for individual types or strains of some STIs.</w:t>
      </w:r>
    </w:p>
    <w:p w:rsidR="00000000" w:rsidDel="00000000" w:rsidP="00000000" w:rsidRDefault="00000000" w:rsidRPr="00000000" w14:paraId="0000000E">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0F">
      <w:pPr>
        <w:spacing w:after="0" w:lineRule="auto"/>
        <w:contextualSpacing w:val="0"/>
        <w:rPr>
          <w:b w:val="1"/>
          <w:color w:val="0070c0"/>
        </w:rPr>
      </w:pPr>
      <w:r w:rsidDel="00000000" w:rsidR="00000000" w:rsidRPr="00000000">
        <w:rPr>
          <w:b w:val="1"/>
          <w:color w:val="0070c0"/>
          <w:rtl w:val="0"/>
        </w:rPr>
        <w:t xml:space="preserve">Over 25 million people in the Uganda have a sexually transmitted infection (STI),2 and almost 15million new infections occur annually. The financial burden of STIs is substantial, at an estimated medical cost of $20million a year (1). While many of these diseases are preventable and treatable, the morbidity and mortality associated with STIs remain high. Antibiotic resistance is rapidly emerging, and the incidence of many common STIs is rising for the first time in a decade. However, new techniques in molecular diagnostics and the development of novel therapeutics have contributed to more rapid diagnosis and effective treatment. This review describes aspects of several STIs that are important to clinical laboratorians. </w:t>
      </w:r>
    </w:p>
    <w:p w:rsidR="00000000" w:rsidDel="00000000" w:rsidP="00000000" w:rsidRDefault="00000000" w:rsidRPr="00000000" w14:paraId="00000010">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1">
      <w:pPr>
        <w:spacing w:after="0" w:lineRule="auto"/>
        <w:contextualSpacing w:val="0"/>
        <w:rPr>
          <w:b w:val="1"/>
          <w:color w:val="ff00ff"/>
        </w:rPr>
      </w:pPr>
      <w:r w:rsidDel="00000000" w:rsidR="00000000" w:rsidRPr="00000000">
        <w:rPr>
          <w:b w:val="1"/>
          <w:color w:val="ff00ff"/>
          <w:rtl w:val="0"/>
        </w:rPr>
        <w:t xml:space="preserve">Cervicitis and Urethritis</w:t>
      </w:r>
    </w:p>
    <w:p w:rsidR="00000000" w:rsidDel="00000000" w:rsidP="00000000" w:rsidRDefault="00000000" w:rsidRPr="00000000" w14:paraId="00000012">
      <w:pPr>
        <w:spacing w:after="0" w:lineRule="auto"/>
        <w:contextualSpacing w:val="0"/>
        <w:rPr>
          <w:b w:val="1"/>
          <w:color w:val="0070c0"/>
        </w:rPr>
      </w:pPr>
      <w:r w:rsidDel="00000000" w:rsidR="00000000" w:rsidRPr="00000000">
        <w:rPr>
          <w:b w:val="1"/>
          <w:color w:val="0070c0"/>
          <w:rtl w:val="0"/>
        </w:rPr>
        <w:t xml:space="preserve">Inflammation of the cervix is characterized by a purulent endocervical exudate and easily induced cervical bleeding. Symptoms of urethritis include dysuria, urethral pruritis, and discharge. Cervicitis and urethritis are most commonly triggered by Chlamydia trachomatis or Neisseria gonorrhoeae. Additionally, bacterial infection with Mycoplasma genitalium is associated with urethritis.</w:t>
      </w:r>
    </w:p>
    <w:p w:rsidR="00000000" w:rsidDel="00000000" w:rsidP="00000000" w:rsidRDefault="00000000" w:rsidRPr="00000000" w14:paraId="00000013">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4">
      <w:pPr>
        <w:spacing w:after="0" w:lineRule="auto"/>
        <w:contextualSpacing w:val="0"/>
        <w:rPr>
          <w:b w:val="1"/>
          <w:color w:val="ff00ff"/>
        </w:rPr>
      </w:pPr>
      <w:r w:rsidDel="00000000" w:rsidR="00000000" w:rsidRPr="00000000">
        <w:rPr>
          <w:b w:val="1"/>
          <w:color w:val="ff00ff"/>
          <w:rtl w:val="0"/>
        </w:rPr>
        <w:t xml:space="preserve">CHLAMYDIA AND GONORRHEA</w:t>
      </w:r>
    </w:p>
    <w:p w:rsidR="00000000" w:rsidDel="00000000" w:rsidP="00000000" w:rsidRDefault="00000000" w:rsidRPr="00000000" w14:paraId="00000015">
      <w:pPr>
        <w:spacing w:after="0" w:lineRule="auto"/>
        <w:contextualSpacing w:val="0"/>
        <w:rPr>
          <w:b w:val="1"/>
          <w:color w:val="0070c0"/>
        </w:rPr>
      </w:pPr>
      <w:r w:rsidDel="00000000" w:rsidR="00000000" w:rsidRPr="00000000">
        <w:rPr>
          <w:b w:val="1"/>
          <w:color w:val="0070c0"/>
          <w:rtl w:val="0"/>
        </w:rPr>
        <w:t xml:space="preserve">C.trachomatis and  N. gonorrhoeae are gram-negative intracellular bacteria that are the most commonly reported causes of sexually transmitted disease in the uganda. Chlamydial infection is most prevalent in people ≤24 years old, with about twice as many infections reported in females compared with males . Although many infections are asymptomatic, there are severe sequelae of chlamydial and gonococcal infections, including pelvic inflammatory disease, ectopic pregnancy, and infertility. Infections are transmitted through vaginal, oral, or anal intercourse. Additionally, N. gonorrhoeae is a cause of ocular infection, most commonly in neonates born to infected mothers. Effective prophylaxis measures have greatly decreased the incidence of neonatal gonococcal infection in the Uganda, but transmission is still frequent in developing countries with high rates of untreated infection in pregnant women </w:t>
      </w:r>
    </w:p>
    <w:p w:rsidR="00000000" w:rsidDel="00000000" w:rsidP="00000000" w:rsidRDefault="00000000" w:rsidRPr="00000000" w14:paraId="00000016">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7">
      <w:pPr>
        <w:spacing w:after="0" w:lineRule="auto"/>
        <w:contextualSpacing w:val="0"/>
        <w:rPr>
          <w:b w:val="1"/>
          <w:color w:val="0070c0"/>
        </w:rPr>
      </w:pPr>
      <w:r w:rsidDel="00000000" w:rsidR="00000000" w:rsidRPr="00000000">
        <w:rPr>
          <w:b w:val="1"/>
          <w:color w:val="0070c0"/>
          <w:rtl w:val="0"/>
        </w:rPr>
        <w:t xml:space="preserve">The CDC recommends that all sexually active females &lt;25 years of age be screened annually for chlamydial and gonococcal infection . Additionally, all pregnant women &lt;25 years old should be screened for Chlamydia and gonorrhea during the initial prenatal visit. Retesting in the third trimester should be considered for women at increased risk for Chlamydia to lessen the likelihood of birth complications and perinatal infection of a neonate </w:t>
      </w:r>
    </w:p>
    <w:p w:rsidR="00000000" w:rsidDel="00000000" w:rsidP="00000000" w:rsidRDefault="00000000" w:rsidRPr="00000000" w14:paraId="00000018">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9">
      <w:pPr>
        <w:spacing w:after="0" w:lineRule="auto"/>
        <w:contextualSpacing w:val="0"/>
        <w:rPr>
          <w:b w:val="1"/>
          <w:color w:val="0070c0"/>
        </w:rPr>
      </w:pPr>
      <w:r w:rsidDel="00000000" w:rsidR="00000000" w:rsidRPr="00000000">
        <w:rPr>
          <w:b w:val="1"/>
          <w:color w:val="0070c0"/>
          <w:rtl w:val="0"/>
        </w:rPr>
        <w:t xml:space="preserve">Screening of young males is recommended in areas of high prevalence and for men who have sex with men (MSM) . The rate of reported cases of chlamydial and gonococcal infections among men has increased in recent years  This may be a result of changes in screening practices, as screening of extragenital sites is now recommended owing to the high prevalence of pharyngeal and rectal Chlamydia and gonorrhea among MSM </w:t>
      </w:r>
    </w:p>
    <w:p w:rsidR="00000000" w:rsidDel="00000000" w:rsidP="00000000" w:rsidRDefault="00000000" w:rsidRPr="00000000" w14:paraId="0000001A">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B">
      <w:pPr>
        <w:spacing w:after="0" w:lineRule="auto"/>
        <w:contextualSpacing w:val="0"/>
        <w:rPr>
          <w:b w:val="1"/>
          <w:color w:val="0070c0"/>
        </w:rPr>
      </w:pPr>
      <w:r w:rsidDel="00000000" w:rsidR="00000000" w:rsidRPr="00000000">
        <w:rPr>
          <w:b w:val="1"/>
          <w:color w:val="0070c0"/>
          <w:rtl w:val="0"/>
        </w:rPr>
        <w:t xml:space="preserve">The specimen of choice for screening females for urogenital infection is a vaginal swab that is provider- or self-collected in a clinical setting. The provision of self-collection has increased screening rates among women, and studies have demonstrated comparable sensitivity and specificity of these specimens to provider-collected samples (10–12). Other acceptable specimens include first-catch urine or an endocervical swab. Urethral and first-catch urine samples are used to screen men for urogenital Chlamydia and gonococcal infection. Testing for both pathogens is available by nucleic acid amplification tests (NAATs); this approach has several advantages over culture and antigen testing. NAATs have exhibited superior diagnostic and analytical sensitivity for the detection of chlamydial and gonococcal infections (13–15). Most commercially available assays are approved by the Uganda Drug Administration (UDA) for vaginal, urethral, cervical, and urine specimens. NAATs are not UDA cleared for throat and rectal specimens, but recommendations for screening these sites have prompted many laboratories to validate throat and rectal swabs for NAATs </w:t>
      </w:r>
    </w:p>
    <w:p w:rsidR="00000000" w:rsidDel="00000000" w:rsidP="00000000" w:rsidRDefault="00000000" w:rsidRPr="00000000" w14:paraId="0000001C">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D">
      <w:pPr>
        <w:spacing w:after="0" w:lineRule="auto"/>
        <w:contextualSpacing w:val="0"/>
        <w:rPr>
          <w:b w:val="1"/>
          <w:color w:val="0070c0"/>
        </w:rPr>
      </w:pPr>
      <w:r w:rsidDel="00000000" w:rsidR="00000000" w:rsidRPr="00000000">
        <w:rPr>
          <w:b w:val="1"/>
          <w:color w:val="0070c0"/>
          <w:rtl w:val="0"/>
        </w:rPr>
        <w:t xml:space="preserve">Although NAATs demonstrate improved sensitivity compared with cultures of N. gonorrhoeae and C. trachomatis, there is an infrequent but important need for culturing these pathogens. Currently, culture is recommended in cases of sexual assault in boys and extragenital exposure in girls. In addition, some laboratories must maintain the ability to culture C. trachomatis and N. gonorrhoeae to monitor trends in epidemiology and antibiotic resistance patterns. Culture of C. trachomatis requires cell culture to cultivate the organism. Invasive specimen collection is necessary to acquire sufficient epithelial cells, and samples must be processed and inoculated onto a cell monolayer without delay. Infected cells are incubated with chlamydial antibodies to detect the presence of the organism. This process is technically complex, and methods are highly variable among laboratories . Therefore, culture is not practical for most clinical laboratories and is typically reserved for public health facilities. Culture of N. gonorrhoeae can be difficult due to the fastidious nature of the organism. Specimens should be collected on swabs with plastic or metal shafts owing to possible inhibitory effects of wood or cotton on the growth of bacteria, and specialized transport medium is required to preserve organism viability. Additionally, selective and enriched growth media and incubation in an increased CO2 environment are required for isolation.</w:t>
      </w:r>
    </w:p>
    <w:p w:rsidR="00000000" w:rsidDel="00000000" w:rsidP="00000000" w:rsidRDefault="00000000" w:rsidRPr="00000000" w14:paraId="0000001E">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1F">
      <w:pPr>
        <w:spacing w:after="0" w:lineRule="auto"/>
        <w:contextualSpacing w:val="0"/>
        <w:rPr>
          <w:b w:val="1"/>
          <w:color w:val="ff00ff"/>
        </w:rPr>
      </w:pPr>
      <w:r w:rsidDel="00000000" w:rsidR="00000000" w:rsidRPr="00000000">
        <w:rPr>
          <w:b w:val="1"/>
          <w:color w:val="ff00ff"/>
          <w:rtl w:val="0"/>
        </w:rPr>
        <w:t xml:space="preserve">Treatment.</w:t>
      </w:r>
    </w:p>
    <w:p w:rsidR="00000000" w:rsidDel="00000000" w:rsidP="00000000" w:rsidRDefault="00000000" w:rsidRPr="00000000" w14:paraId="00000020">
      <w:pPr>
        <w:spacing w:after="0" w:lineRule="auto"/>
        <w:contextualSpacing w:val="0"/>
        <w:rPr>
          <w:b w:val="1"/>
          <w:color w:val="0070c0"/>
        </w:rPr>
      </w:pPr>
      <w:r w:rsidDel="00000000" w:rsidR="00000000" w:rsidRPr="00000000">
        <w:rPr>
          <w:b w:val="1"/>
          <w:color w:val="0070c0"/>
          <w:rtl w:val="0"/>
        </w:rPr>
        <w:t xml:space="preserve">Treatment of chlamydial and gonococcal infection is critical to prevent further transmission to a partner or neonate or possible sequelae such as reproductive complications. The recommended treatment for chlamydial infections is azithromycin or doxycycline, which have been shown to be equally effective in eradication of infection </w:t>
      </w:r>
    </w:p>
    <w:p w:rsidR="00000000" w:rsidDel="00000000" w:rsidP="00000000" w:rsidRDefault="00000000" w:rsidRPr="00000000" w14:paraId="00000021">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22">
      <w:pPr>
        <w:spacing w:after="0" w:lineRule="auto"/>
        <w:contextualSpacing w:val="0"/>
        <w:rPr>
          <w:b w:val="1"/>
          <w:color w:val="0070c0"/>
        </w:rPr>
      </w:pPr>
      <w:r w:rsidDel="00000000" w:rsidR="00000000" w:rsidRPr="00000000">
        <w:rPr>
          <w:b w:val="1"/>
          <w:color w:val="0070c0"/>
          <w:rtl w:val="0"/>
        </w:rPr>
        <w:t xml:space="preserve">Treatment of gonococcal infection has evolved recently due to increasing concerns about antibiotic-resistant strains of N. gonorrhoeae. A recent increase in the incidence of tetracycline resistance and strains with increased minimum inhibitory concentrations to cefixime has prompted the CDC to recommend combination therapy with ceftriaxone and azithromycin, which is also effective against uncomplicated chlamydial coinfection. If treatment failure is observed after this regimen, antimicrobial susceptibility testing (AST) of the N. gonorrhoeae strain should be performed.</w:t>
      </w:r>
    </w:p>
    <w:p w:rsidR="00000000" w:rsidDel="00000000" w:rsidP="00000000" w:rsidRDefault="00000000" w:rsidRPr="00000000" w14:paraId="00000023">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24">
      <w:pPr>
        <w:spacing w:after="0" w:lineRule="auto"/>
        <w:contextualSpacing w:val="0"/>
        <w:rPr>
          <w:b w:val="1"/>
          <w:color w:val="ff00ff"/>
        </w:rPr>
      </w:pPr>
      <w:r w:rsidDel="00000000" w:rsidR="00000000" w:rsidRPr="00000000">
        <w:rPr>
          <w:b w:val="1"/>
          <w:color w:val="ff00ff"/>
          <w:rtl w:val="0"/>
        </w:rPr>
        <w:t xml:space="preserve">MYCOPLASMA GENITALIUM</w:t>
      </w:r>
    </w:p>
    <w:p w:rsidR="00000000" w:rsidDel="00000000" w:rsidP="00000000" w:rsidRDefault="00000000" w:rsidRPr="00000000" w14:paraId="00000025">
      <w:pPr>
        <w:spacing w:after="0" w:lineRule="auto"/>
        <w:contextualSpacing w:val="0"/>
        <w:rPr>
          <w:b w:val="1"/>
          <w:color w:val="0070c0"/>
        </w:rPr>
      </w:pPr>
      <w:r w:rsidDel="00000000" w:rsidR="00000000" w:rsidRPr="00000000">
        <w:rPr>
          <w:b w:val="1"/>
          <w:color w:val="0070c0"/>
          <w:rtl w:val="0"/>
        </w:rPr>
        <w:t xml:space="preserve">Approximately 20% of nongonococcal and nonchlamydial cases of male urethritis can be attributed to the bacterium M. genitalium, which may be sexually transmitted. The pathogenesis of M. genitalium in women is unclear, although the organism is found more often in women with cervicitis than those without </w:t>
      </w:r>
    </w:p>
    <w:p w:rsidR="00000000" w:rsidDel="00000000" w:rsidP="00000000" w:rsidRDefault="00000000" w:rsidRPr="00000000" w14:paraId="00000026">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27">
      <w:pPr>
        <w:spacing w:after="0" w:lineRule="auto"/>
        <w:contextualSpacing w:val="0"/>
        <w:rPr>
          <w:b w:val="1"/>
          <w:color w:val="0070c0"/>
        </w:rPr>
      </w:pPr>
      <w:r w:rsidDel="00000000" w:rsidR="00000000" w:rsidRPr="00000000">
        <w:rPr>
          <w:b w:val="1"/>
          <w:color w:val="0070c0"/>
          <w:rtl w:val="0"/>
        </w:rPr>
        <w:t xml:space="preserve">Diagnostic testing for M. genitalium infection can be a challenge. The organism can take up to 6 months to grow in culture, and very few laboratories can culture clinical isolates. Therefore, NAAT is the preferred method of testing, although there are currently no UDA-approved diagnostic assays. Thus, the organism may be underdiagnosed in people with persistent or recurrent nongonococcal urethritis.</w:t>
      </w:r>
    </w:p>
    <w:p w:rsidR="00000000" w:rsidDel="00000000" w:rsidP="00000000" w:rsidRDefault="00000000" w:rsidRPr="00000000" w14:paraId="00000028">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29">
      <w:pPr>
        <w:spacing w:after="0" w:lineRule="auto"/>
        <w:contextualSpacing w:val="0"/>
        <w:rPr>
          <w:b w:val="1"/>
          <w:color w:val="0070c0"/>
        </w:rPr>
      </w:pPr>
      <w:r w:rsidDel="00000000" w:rsidR="00000000" w:rsidRPr="00000000">
        <w:rPr>
          <w:b w:val="1"/>
          <w:color w:val="0070c0"/>
          <w:rtl w:val="0"/>
        </w:rPr>
        <w:t xml:space="preserve">As a result of these diagnostic challenges, the decision to treat a suspected case of M. genitalium is largely based on symptomology and exclusion of other causes of infection. Studies have shown that doxycycline is relatively ineffective against M. genitalium, whereas azithromycin therapy has been more successful. However, resistance to azithromycin is rapidly emerging, and an alternative regimen consisting of treatment with moxifloxacin has been effective in a small number of cases in which previous treatment measures have failed </w:t>
      </w:r>
    </w:p>
    <w:p w:rsidR="00000000" w:rsidDel="00000000" w:rsidP="00000000" w:rsidRDefault="00000000" w:rsidRPr="00000000" w14:paraId="0000002A">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2B">
      <w:pPr>
        <w:spacing w:after="0" w:lineRule="auto"/>
        <w:contextualSpacing w:val="0"/>
        <w:rPr>
          <w:b w:val="1"/>
          <w:color w:val="ff00ff"/>
        </w:rPr>
      </w:pPr>
      <w:r w:rsidDel="00000000" w:rsidR="00000000" w:rsidRPr="00000000">
        <w:rPr>
          <w:b w:val="1"/>
          <w:color w:val="ff00ff"/>
          <w:rtl w:val="0"/>
        </w:rPr>
        <w:t xml:space="preserve">Genital Ulcerative Disease</w:t>
      </w:r>
    </w:p>
    <w:p w:rsidR="00000000" w:rsidDel="00000000" w:rsidP="00000000" w:rsidRDefault="00000000" w:rsidRPr="00000000" w14:paraId="0000002C">
      <w:pPr>
        <w:spacing w:after="0" w:lineRule="auto"/>
        <w:contextualSpacing w:val="0"/>
        <w:rPr>
          <w:b w:val="1"/>
          <w:color w:val="0070c0"/>
        </w:rPr>
      </w:pPr>
      <w:r w:rsidDel="00000000" w:rsidR="00000000" w:rsidRPr="00000000">
        <w:rPr>
          <w:b w:val="1"/>
          <w:color w:val="0070c0"/>
          <w:rtl w:val="0"/>
        </w:rPr>
        <w:t xml:space="preserve">Genital ulcers can have infectious or noninfectious etiologies. Most cases in  Uganda are caused by sexual transmission of herpes simplex virus (HSV) or syphilis. Less prevalent infectious causes include chancroid (Hemophilus ducreyi), granuloma inguinale (Klebsiella granulomatis), and lymphogranuloma venereum. The presence of genital ulcers is associated with an increased risk of HIV acquisition and transmission. However, determining the cause of genital ulcers is often complicated by the fact that multiple etiologies may be present simultaneously.</w:t>
      </w:r>
    </w:p>
    <w:p w:rsidR="00000000" w:rsidDel="00000000" w:rsidP="00000000" w:rsidRDefault="00000000" w:rsidRPr="00000000" w14:paraId="0000002D">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2E">
      <w:pPr>
        <w:spacing w:after="0" w:lineRule="auto"/>
        <w:contextualSpacing w:val="0"/>
        <w:rPr>
          <w:b w:val="1"/>
          <w:color w:val="ff00ff"/>
        </w:rPr>
      </w:pPr>
      <w:r w:rsidDel="00000000" w:rsidR="00000000" w:rsidRPr="00000000">
        <w:rPr>
          <w:b w:val="1"/>
          <w:color w:val="ff00ff"/>
          <w:rtl w:val="0"/>
        </w:rPr>
        <w:t xml:space="preserve">SYPHILIS</w:t>
      </w:r>
    </w:p>
    <w:p w:rsidR="00000000" w:rsidDel="00000000" w:rsidP="00000000" w:rsidRDefault="00000000" w:rsidRPr="00000000" w14:paraId="0000002F">
      <w:pPr>
        <w:spacing w:after="0" w:lineRule="auto"/>
        <w:contextualSpacing w:val="0"/>
        <w:rPr>
          <w:b w:val="1"/>
          <w:color w:val="0070c0"/>
        </w:rPr>
      </w:pPr>
      <w:r w:rsidDel="00000000" w:rsidR="00000000" w:rsidRPr="00000000">
        <w:rPr>
          <w:b w:val="1"/>
          <w:color w:val="0070c0"/>
          <w:rtl w:val="0"/>
        </w:rPr>
        <w:t xml:space="preserve">Syphilis, which is caused by the bacterium Treponema pallidum, is divided into primary, secondary, and tertiary stages of infection, depending on clinical manifestation. Asymptomatic infection is known as latent syphilis and may be detected by serologic testing. In addition, T. pallidum can infect the central nervous system at any stage of infection, resulting in neurosyphilis.</w:t>
      </w:r>
    </w:p>
    <w:p w:rsidR="00000000" w:rsidDel="00000000" w:rsidP="00000000" w:rsidRDefault="00000000" w:rsidRPr="00000000" w14:paraId="00000030">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1">
      <w:pPr>
        <w:spacing w:after="0" w:lineRule="auto"/>
        <w:contextualSpacing w:val="0"/>
        <w:rPr>
          <w:b w:val="1"/>
          <w:color w:val="ff00ff"/>
        </w:rPr>
      </w:pPr>
      <w:r w:rsidDel="00000000" w:rsidR="00000000" w:rsidRPr="00000000">
        <w:rPr>
          <w:b w:val="1"/>
          <w:color w:val="ff00ff"/>
          <w:rtl w:val="0"/>
        </w:rPr>
        <w:t xml:space="preserve">Screening and diagnostic testing.</w:t>
      </w:r>
    </w:p>
    <w:p w:rsidR="00000000" w:rsidDel="00000000" w:rsidP="00000000" w:rsidRDefault="00000000" w:rsidRPr="00000000" w14:paraId="00000032">
      <w:pPr>
        <w:spacing w:after="0" w:lineRule="auto"/>
        <w:contextualSpacing w:val="0"/>
        <w:rPr>
          <w:b w:val="1"/>
          <w:color w:val="0070c0"/>
        </w:rPr>
      </w:pPr>
      <w:r w:rsidDel="00000000" w:rsidR="00000000" w:rsidRPr="00000000">
        <w:rPr>
          <w:b w:val="1"/>
          <w:color w:val="0070c0"/>
          <w:rtl w:val="0"/>
        </w:rPr>
        <w:t xml:space="preserve">Routine screening for syphilis is not recommended in uganda, owing to the low positive predictive value of testing asymptomatic individuals. Because the majority of primary and secondary syphilis cases are diagnosed in MSM, screening should be reserved for these individuals and others at high risk of infection. Transplacental transmission of syphilis from mother to fetus can result in stillbirth, hydrops fetalis, or premature birth. Because of the severe morbidity associated with infection, routine syphilis screening is recommended for all pregnant women during the first prenatal visit and in the third trimester for women who are at high risk for infection, live in high prevalence areas, or were previously untested. </w:t>
      </w:r>
    </w:p>
    <w:p w:rsidR="00000000" w:rsidDel="00000000" w:rsidP="00000000" w:rsidRDefault="00000000" w:rsidRPr="00000000" w14:paraId="00000033">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4">
      <w:pPr>
        <w:spacing w:after="0" w:lineRule="auto"/>
        <w:contextualSpacing w:val="0"/>
        <w:rPr>
          <w:b w:val="1"/>
          <w:color w:val="0070c0"/>
        </w:rPr>
      </w:pPr>
      <w:r w:rsidDel="00000000" w:rsidR="00000000" w:rsidRPr="00000000">
        <w:rPr>
          <w:b w:val="1"/>
          <w:color w:val="0070c0"/>
          <w:rtl w:val="0"/>
        </w:rPr>
        <w:t xml:space="preserve">Serologic testing methods for syphilis are categorized as treponemal specific or nontreponemal. Treponemal tests include the T. pallidum enzyme immunoassay (TP-EIA), the T. pallidum particle agglutination (TP-PA) test, and the fluorescent treponemal antibody absorption (FTA-Abs) test. These are typically confirmatory tests that detect antibodies against treponemal cellular components. Although they display very good sensitivity and specificity, they are labor intensive and cannot be used to follow disease, as they remain positive after successful treatment.</w:t>
      </w:r>
    </w:p>
    <w:p w:rsidR="00000000" w:rsidDel="00000000" w:rsidP="00000000" w:rsidRDefault="00000000" w:rsidRPr="00000000" w14:paraId="00000035">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6">
      <w:pPr>
        <w:spacing w:after="0" w:lineRule="auto"/>
        <w:contextualSpacing w:val="0"/>
        <w:rPr>
          <w:b w:val="1"/>
          <w:color w:val="0070c0"/>
        </w:rPr>
      </w:pPr>
      <w:r w:rsidDel="00000000" w:rsidR="00000000" w:rsidRPr="00000000">
        <w:rPr>
          <w:b w:val="1"/>
          <w:color w:val="0070c0"/>
          <w:rtl w:val="0"/>
        </w:rPr>
        <w:t xml:space="preserve">Nontreponemal tests, including venereal disease research laboratory (VDRL) and rapid plasma reagin (RPR) tests, detect antibodies to a cardiolipin-cholesterol-lecithin antigen produced in response to syphilis infection. Although these tests lack specificity, they are rapid and inexpensive and can be used to screen for active infection and monitor response to treatment. Dilution of samples should be considered in patients with high clinical suspicion for syphilis because of a potential prozone effect with RPR and VDRL tests. In most settings, nontreponemal testing is used for initial screening, and positive results are confirmed by treponemal-specific testing. </w:t>
      </w:r>
    </w:p>
    <w:p w:rsidR="00000000" w:rsidDel="00000000" w:rsidP="00000000" w:rsidRDefault="00000000" w:rsidRPr="00000000" w14:paraId="00000037">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8">
      <w:pPr>
        <w:spacing w:after="0" w:lineRule="auto"/>
        <w:contextualSpacing w:val="0"/>
        <w:rPr>
          <w:b w:val="1"/>
          <w:color w:val="0070c0"/>
        </w:rPr>
      </w:pPr>
      <w:r w:rsidDel="00000000" w:rsidR="00000000" w:rsidRPr="00000000">
        <w:rPr>
          <w:b w:val="1"/>
          <w:color w:val="0070c0"/>
          <w:rtl w:val="0"/>
        </w:rPr>
        <w:t xml:space="preserve">The recent development of automated treponemal serologic immunoassays has created a paradigm shift in the algorithm for syphilis diagnostic testing. With the availability of high-throughput automated enzyme immunoassays and the lower cost of treponemal-specific testing, some laboratories have initiated a “reverse screening algorithm” in which initial testing consists of a treponemal-specific method, followed by nontreponemal testing. However, the low prevalence of syphilis in uganda in most patient populations and geographic regions has a detrimental effect on the positive predictive value of this algorithm, which can lead to uncertainty about patient management </w:t>
      </w:r>
    </w:p>
    <w:p w:rsidR="00000000" w:rsidDel="00000000" w:rsidP="00000000" w:rsidRDefault="00000000" w:rsidRPr="00000000" w14:paraId="00000039">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A">
      <w:pPr>
        <w:spacing w:after="0" w:lineRule="auto"/>
        <w:contextualSpacing w:val="0"/>
        <w:rPr>
          <w:b w:val="1"/>
          <w:color w:val="0070c0"/>
        </w:rPr>
      </w:pPr>
      <w:r w:rsidDel="00000000" w:rsidR="00000000" w:rsidRPr="00000000">
        <w:rPr>
          <w:b w:val="1"/>
          <w:color w:val="0070c0"/>
          <w:rtl w:val="0"/>
        </w:rPr>
        <w:t xml:space="preserve">HERPES SIMPLEX VIRUS</w:t>
      </w:r>
    </w:p>
    <w:p w:rsidR="00000000" w:rsidDel="00000000" w:rsidP="00000000" w:rsidRDefault="00000000" w:rsidRPr="00000000" w14:paraId="0000003B">
      <w:pPr>
        <w:spacing w:after="0" w:lineRule="auto"/>
        <w:contextualSpacing w:val="0"/>
        <w:rPr>
          <w:b w:val="1"/>
          <w:color w:val="0070c0"/>
        </w:rPr>
      </w:pPr>
      <w:r w:rsidDel="00000000" w:rsidR="00000000" w:rsidRPr="00000000">
        <w:rPr>
          <w:b w:val="1"/>
          <w:color w:val="0070c0"/>
          <w:rtl w:val="0"/>
        </w:rPr>
        <w:t xml:space="preserve">Genital herpes infection, which is caused by HSV type 1 (HSV-1) and HSV-2, is one of the most prevalent STIs worldwide. In uganda, the overall seroprevalence of HSV-2 in adolescents and adults is 17% (36). Although the seroprevalence of HSV-2 has declined in recent years, an increasing proportion of new infections has been attributed to HSV-1, particularly in young women and MSM. Many infections are unrecognized, because genital HSV infections are often asymptomatic or subclinical.</w:t>
      </w:r>
    </w:p>
    <w:p w:rsidR="00000000" w:rsidDel="00000000" w:rsidP="00000000" w:rsidRDefault="00000000" w:rsidRPr="00000000" w14:paraId="0000003C">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D">
      <w:pPr>
        <w:spacing w:after="0" w:lineRule="auto"/>
        <w:contextualSpacing w:val="0"/>
        <w:rPr>
          <w:b w:val="1"/>
          <w:color w:val="0070c0"/>
        </w:rPr>
      </w:pPr>
      <w:r w:rsidDel="00000000" w:rsidR="00000000" w:rsidRPr="00000000">
        <w:rPr>
          <w:b w:val="1"/>
          <w:color w:val="0070c0"/>
          <w:rtl w:val="0"/>
        </w:rPr>
        <w:t xml:space="preserve">A clinical diagnosis of genital herpes is neither sensitive nor specific. Therefore, laboratory testing methods are routinely used to support the diagnosis. Viral culture was once the gold standard for HSV diagnosis, but as a result of the long turnaround time and reduced sensitivity of the method compared with molecular testing, viral culture for HSV has largely fallen out of favor. Nucleic acid testing by PCR assay of a swab of a lesion is highly sensitive in an individual presenting with active lesions. However, latent infection cannot be ruled out in a patient with no active lesions and a negative result. At the time of preparation of this manuscript, there are 3 UDA-cleared molecular assays for detection of HSV DNA in genital and oral lesions that provide rapid results with detection rates superior to viral culture </w:t>
      </w:r>
    </w:p>
    <w:p w:rsidR="00000000" w:rsidDel="00000000" w:rsidP="00000000" w:rsidRDefault="00000000" w:rsidRPr="00000000" w14:paraId="0000003E">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3F">
      <w:pPr>
        <w:spacing w:after="0" w:lineRule="auto"/>
        <w:contextualSpacing w:val="0"/>
        <w:rPr>
          <w:b w:val="1"/>
          <w:color w:val="0070c0"/>
        </w:rPr>
      </w:pPr>
      <w:r w:rsidDel="00000000" w:rsidR="00000000" w:rsidRPr="00000000">
        <w:rPr>
          <w:b w:val="1"/>
          <w:color w:val="0070c0"/>
          <w:rtl w:val="0"/>
        </w:rPr>
        <w:t xml:space="preserve">Serologic assays are available for type-specific testing of HSV-1 and -2. Antibodies develop within the first several weeks after infection and are present indefinitely. A positive IgG result is not diagnostic of active HSV infection. Furthermore, detection of IgM has no utility, as it does not correlate with recent infection and IgM testing is not type specific </w:t>
      </w:r>
    </w:p>
    <w:p w:rsidR="00000000" w:rsidDel="00000000" w:rsidP="00000000" w:rsidRDefault="00000000" w:rsidRPr="00000000" w14:paraId="00000040">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41">
      <w:pPr>
        <w:spacing w:after="0" w:lineRule="auto"/>
        <w:contextualSpacing w:val="0"/>
        <w:rPr>
          <w:b w:val="1"/>
          <w:color w:val="0070c0"/>
        </w:rPr>
      </w:pPr>
      <w:r w:rsidDel="00000000" w:rsidR="00000000" w:rsidRPr="00000000">
        <w:rPr>
          <w:b w:val="1"/>
          <w:color w:val="0070c0"/>
          <w:rtl w:val="0"/>
        </w:rPr>
        <w:t xml:space="preserve">Human Immunodeficiency Virus</w:t>
      </w:r>
    </w:p>
    <w:p w:rsidR="00000000" w:rsidDel="00000000" w:rsidP="00000000" w:rsidRDefault="00000000" w:rsidRPr="00000000" w14:paraId="00000042">
      <w:pPr>
        <w:spacing w:after="0" w:lineRule="auto"/>
        <w:contextualSpacing w:val="0"/>
        <w:rPr>
          <w:b w:val="1"/>
          <w:color w:val="0070c0"/>
        </w:rPr>
      </w:pPr>
      <w:r w:rsidDel="00000000" w:rsidR="00000000" w:rsidRPr="00000000">
        <w:rPr>
          <w:b w:val="1"/>
          <w:color w:val="0070c0"/>
          <w:rtl w:val="0"/>
        </w:rPr>
        <w:t xml:space="preserve">Approximately 1. 46million people in uganda and 70 million people worldwide are infected with HIV </w:t>
      </w:r>
    </w:p>
    <w:p w:rsidR="00000000" w:rsidDel="00000000" w:rsidP="00000000" w:rsidRDefault="00000000" w:rsidRPr="00000000" w14:paraId="00000043">
      <w:pPr>
        <w:spacing w:after="0" w:lineRule="auto"/>
        <w:contextualSpacing w:val="0"/>
        <w:rPr>
          <w:b w:val="1"/>
          <w:color w:val="0070c0"/>
        </w:rPr>
      </w:pPr>
      <w:r w:rsidDel="00000000" w:rsidR="00000000" w:rsidRPr="00000000">
        <w:rPr>
          <w:b w:val="1"/>
          <w:color w:val="0070c0"/>
          <w:rtl w:val="0"/>
        </w:rPr>
        <w:t xml:space="preserve">. In recent years, the rate of HIV diagnosis in the US has been stable at 15 per 100 000 population, with the overwhelming majority of new infections in men, particularly MSM. </w:t>
      </w:r>
    </w:p>
    <w:p w:rsidR="00000000" w:rsidDel="00000000" w:rsidP="00000000" w:rsidRDefault="00000000" w:rsidRPr="00000000" w14:paraId="00000044">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45">
      <w:pPr>
        <w:spacing w:after="0" w:lineRule="auto"/>
        <w:contextualSpacing w:val="0"/>
        <w:rPr>
          <w:b w:val="1"/>
          <w:color w:val="0070c0"/>
        </w:rPr>
      </w:pPr>
      <w:r w:rsidDel="00000000" w:rsidR="00000000" w:rsidRPr="00000000">
        <w:rPr>
          <w:b w:val="1"/>
          <w:color w:val="0070c0"/>
          <w:rtl w:val="0"/>
        </w:rPr>
        <w:t xml:space="preserve">There are 2 types of HIV infection, HIV-1 and HIV-2. HIV-1 is the more prominent type and is estimated to cause approximately 95% of infections globally. Although HIV-2 infections have been reported worldwide, it is relatively rare compared to HIV-1. HIV-2 is endemic to West Africa and is an important cause of infection in areas with historic ties to this region, including Portugal, Spain, India, and Brazil</w:t>
      </w:r>
    </w:p>
    <w:p w:rsidR="00000000" w:rsidDel="00000000" w:rsidP="00000000" w:rsidRDefault="00000000" w:rsidRPr="00000000" w14:paraId="00000046">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47">
      <w:pPr>
        <w:spacing w:after="0" w:lineRule="auto"/>
        <w:contextualSpacing w:val="0"/>
        <w:rPr>
          <w:b w:val="1"/>
          <w:color w:val="0070c0"/>
        </w:rPr>
      </w:pPr>
      <w:r w:rsidDel="00000000" w:rsidR="00000000" w:rsidRPr="00000000">
        <w:rPr>
          <w:b w:val="1"/>
          <w:color w:val="0070c0"/>
          <w:rtl w:val="0"/>
        </w:rPr>
        <w:t xml:space="preserve">HIV is acquired through contact with infected bodily fluids, such as blood, semen, vaginal fluids, or breast milk, and most infections are acquired by sexual contact . After a brief acute illness, HIV infection shifts to a chronic syndrome that progressively depletes CD4 T-lymphocytes, leading to AIDS and an increased risk of opportunistic infections.</w:t>
      </w:r>
    </w:p>
    <w:p w:rsidR="00000000" w:rsidDel="00000000" w:rsidP="00000000" w:rsidRDefault="00000000" w:rsidRPr="00000000" w14:paraId="00000048">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49">
      <w:pPr>
        <w:spacing w:after="0" w:lineRule="auto"/>
        <w:contextualSpacing w:val="0"/>
        <w:rPr>
          <w:b w:val="1"/>
          <w:color w:val="ff00ff"/>
        </w:rPr>
      </w:pPr>
      <w:r w:rsidDel="00000000" w:rsidR="00000000" w:rsidRPr="00000000">
        <w:rPr>
          <w:b w:val="1"/>
          <w:color w:val="ff00ff"/>
          <w:rtl w:val="0"/>
        </w:rPr>
        <w:t xml:space="preserve">SCREENING AND DIAGNOSIS</w:t>
      </w:r>
    </w:p>
    <w:p w:rsidR="00000000" w:rsidDel="00000000" w:rsidP="00000000" w:rsidRDefault="00000000" w:rsidRPr="00000000" w14:paraId="0000004A">
      <w:pPr>
        <w:spacing w:after="0" w:lineRule="auto"/>
        <w:contextualSpacing w:val="0"/>
        <w:rPr>
          <w:b w:val="1"/>
          <w:color w:val="0070c0"/>
        </w:rPr>
      </w:pPr>
      <w:r w:rsidDel="00000000" w:rsidR="00000000" w:rsidRPr="00000000">
        <w:rPr>
          <w:b w:val="1"/>
          <w:color w:val="0070c0"/>
          <w:rtl w:val="0"/>
        </w:rPr>
        <w:t xml:space="preserve">The CDC recommends that all people 13–64 years of age be screened for HIV with an “opt-out” approach, which means an individual is notified that testing for HIV will be performed unless the person declines . The recommendation for expanded HIV testing should facilitate earlier diagnosis of HIV infections, which will decrease further spread of infection and permit prompt treatment with antiretroviral therapy before serious sequelae develop. In addition, HIV is an important cause of perinatal infection, and approximately 8700 babies are born to HIV-infected women each year in uganda(. Therefore, the CDC recommends that all pregnant women be screened for HIV early in pregnancy, and retesting is recommended during the third trimester for women at high risk of acquiring HIV infection. Prenatal HIV screening has reduced perinatal HIV infection, as women who test positive can be started on antiretroviral therapy and managed appropriately during delivery to reduce the risk of transmission. </w:t>
      </w:r>
    </w:p>
    <w:p w:rsidR="00000000" w:rsidDel="00000000" w:rsidP="00000000" w:rsidRDefault="00000000" w:rsidRPr="00000000" w14:paraId="0000004B">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4C">
      <w:pPr>
        <w:spacing w:after="0" w:lineRule="auto"/>
        <w:contextualSpacing w:val="0"/>
        <w:rPr>
          <w:b w:val="1"/>
          <w:color w:val="0070c0"/>
        </w:rPr>
      </w:pPr>
      <w:r w:rsidDel="00000000" w:rsidR="00000000" w:rsidRPr="00000000">
        <w:rPr>
          <w:b w:val="1"/>
          <w:color w:val="0070c0"/>
          <w:rtl w:val="0"/>
        </w:rPr>
        <w:t xml:space="preserve">The CDC has recently updated the laboratory testing algorithm for diagnosis of HIV. The first step in the algorithm is screening with a fourth-generation combined antibody/antigen immunoassay (IA), which combines serologic testing for both HIV-1 and HIV-2 and virologic testing for detection of the HIV p24 antigen. Previously implemented third-generation assays did not include p24 antigen detection. Therefore, testing with fourth-generation methods shortens the window for detection of acute infection from approximately 1 month with third-generation assays to 15–20 days, attributed to the ability to detect HIV infection before seroconversion . Evaluations of the diagnostic performance of combination assays have demonstrated sensitivity and specificity of 89%–99.9% and 99.5%, respectively, for diagnosis of HIV, including acute infections. </w:t>
      </w:r>
    </w:p>
    <w:p w:rsidR="00000000" w:rsidDel="00000000" w:rsidP="00000000" w:rsidRDefault="00000000" w:rsidRPr="00000000" w14:paraId="0000004D">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4E">
      <w:pPr>
        <w:spacing w:after="0" w:lineRule="auto"/>
        <w:contextualSpacing w:val="0"/>
        <w:rPr>
          <w:b w:val="1"/>
          <w:color w:val="0070c0"/>
        </w:rPr>
      </w:pPr>
      <w:r w:rsidDel="00000000" w:rsidR="00000000" w:rsidRPr="00000000">
        <w:rPr>
          <w:b w:val="1"/>
          <w:color w:val="0070c0"/>
          <w:rtl w:val="0"/>
        </w:rPr>
        <w:t xml:space="preserve">Approximately 7–10 days after HIV exposure, viral RNA is detectable by nucleic acid amplification testing. Two weeks after infection, the expression of HIV p24 antigen is detectable by fourth-generation antigen/antibody assays. HIV-1 Western blots, which identify HIV-1 antibodies separated by electrophoresis, are not positive until 5–6 weeks after infection onset.</w:t>
      </w:r>
    </w:p>
    <w:p w:rsidR="00000000" w:rsidDel="00000000" w:rsidP="00000000" w:rsidRDefault="00000000" w:rsidRPr="00000000" w14:paraId="0000004F">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50">
      <w:pPr>
        <w:spacing w:after="0" w:lineRule="auto"/>
        <w:contextualSpacing w:val="0"/>
        <w:rPr>
          <w:b w:val="1"/>
          <w:color w:val="0070c0"/>
        </w:rPr>
      </w:pPr>
      <w:r w:rsidDel="00000000" w:rsidR="00000000" w:rsidRPr="00000000">
        <w:rPr>
          <w:b w:val="1"/>
          <w:color w:val="0070c0"/>
          <w:rtl w:val="0"/>
        </w:rPr>
        <w:t xml:space="preserve">Several UDA-cleared rapid HIV tests are available that permit a preliminary diagnosis of HIV infection in &lt;30 min. Most of these are third-generation assays. It is now recommended that all reactive rapid tests be confirmed by following the algorithm from the beginning and testing the sample with a laboratory-based fourth-generation antigen/antibody combination IA </w:t>
      </w:r>
    </w:p>
    <w:p w:rsidR="00000000" w:rsidDel="00000000" w:rsidP="00000000" w:rsidRDefault="00000000" w:rsidRPr="00000000" w14:paraId="00000051">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52">
      <w:pPr>
        <w:spacing w:after="0" w:lineRule="auto"/>
        <w:contextualSpacing w:val="0"/>
        <w:rPr>
          <w:b w:val="1"/>
          <w:color w:val="0070c0"/>
        </w:rPr>
      </w:pPr>
      <w:r w:rsidDel="00000000" w:rsidR="00000000" w:rsidRPr="00000000">
        <w:rPr>
          <w:b w:val="1"/>
          <w:color w:val="0070c0"/>
          <w:rtl w:val="0"/>
        </w:rPr>
        <w:t xml:space="preserve">If the screening assay is nonreactive, no further testing is necessary. Specimens with a reactive result are tested in the second step of the algorithm with an IA that differentiates HIV-1 antibodies from HIV-2 antibodies. Differentiation of HIV types is important, because strains of HIV-2 are naturally resistant to many antiretroviral drugs and are managed differently . The differentiation IAs have several advantages over the Western blot confirmation method, including faster turnaround time, lower cost, and recognition of HIV-2 strains.</w:t>
      </w:r>
    </w:p>
    <w:p w:rsidR="00000000" w:rsidDel="00000000" w:rsidP="00000000" w:rsidRDefault="00000000" w:rsidRPr="00000000" w14:paraId="00000053">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54">
      <w:pPr>
        <w:spacing w:after="0" w:lineRule="auto"/>
        <w:contextualSpacing w:val="0"/>
        <w:rPr>
          <w:b w:val="1"/>
          <w:color w:val="0070c0"/>
        </w:rPr>
      </w:pPr>
      <w:r w:rsidDel="00000000" w:rsidR="00000000" w:rsidRPr="00000000">
        <w:rPr>
          <w:b w:val="1"/>
          <w:color w:val="0070c0"/>
          <w:rtl w:val="0"/>
        </w:rPr>
        <w:t xml:space="preserve">If the differentiation assay is nonreactive or indeterminate, the specimen is further tested with an HIV-1 NAAT to detect viral RNA. A reactive HIV-1 NAAT result is indicative of acute HIV-1 infection, whereas a negative result denotes a false positive on the screening test. </w:t>
      </w:r>
    </w:p>
    <w:p w:rsidR="00000000" w:rsidDel="00000000" w:rsidP="00000000" w:rsidRDefault="00000000" w:rsidRPr="00000000" w14:paraId="00000055">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56">
      <w:pPr>
        <w:spacing w:after="0" w:lineRule="auto"/>
        <w:contextualSpacing w:val="0"/>
        <w:rPr>
          <w:b w:val="1"/>
          <w:color w:val="0070c0"/>
        </w:rPr>
      </w:pPr>
      <w:r w:rsidDel="00000000" w:rsidR="00000000" w:rsidRPr="00000000">
        <w:rPr>
          <w:b w:val="1"/>
          <w:color w:val="0070c0"/>
          <w:rtl w:val="0"/>
        </w:rPr>
        <w:t xml:space="preserve">Management of the HIV-infected patient is complicated and includes viral load monitoring, CD4 T cell counts, and HIV antiretroviral resistance testing. For further information on HIV management, we refer the reader to the HIV treatment guidelines. </w:t>
      </w:r>
    </w:p>
    <w:p w:rsidR="00000000" w:rsidDel="00000000" w:rsidP="00000000" w:rsidRDefault="00000000" w:rsidRPr="00000000" w14:paraId="00000057">
      <w:pPr>
        <w:spacing w:after="0" w:lineRule="auto"/>
        <w:contextualSpacing w:val="0"/>
        <w:rPr>
          <w:b w:val="1"/>
          <w:color w:val="0070c0"/>
        </w:rPr>
      </w:pPr>
      <w:r w:rsidDel="00000000" w:rsidR="00000000" w:rsidRPr="00000000">
        <w:rPr>
          <w:b w:val="1"/>
          <w:color w:val="0070c0"/>
          <w:rtl w:val="0"/>
        </w:rPr>
        <w:t xml:space="preserve">Thanks you very much </w:t>
      </w:r>
    </w:p>
    <w:p w:rsidR="00000000" w:rsidDel="00000000" w:rsidP="00000000" w:rsidRDefault="00000000" w:rsidRPr="00000000" w14:paraId="00000058">
      <w:pPr>
        <w:spacing w:after="0" w:lineRule="auto"/>
        <w:contextualSpacing w:val="0"/>
        <w:rPr>
          <w:b w:val="1"/>
          <w:color w:val="0070c0"/>
        </w:rPr>
      </w:pPr>
      <w:r w:rsidDel="00000000" w:rsidR="00000000" w:rsidRPr="00000000">
        <w:rPr>
          <w:rtl w:val="0"/>
        </w:rPr>
      </w:r>
    </w:p>
    <w:p w:rsidR="00000000" w:rsidDel="00000000" w:rsidP="00000000" w:rsidRDefault="00000000" w:rsidRPr="00000000" w14:paraId="00000059">
      <w:pPr>
        <w:spacing w:after="0" w:lineRule="auto"/>
        <w:contextualSpacing w:val="0"/>
        <w:rPr>
          <w:b w:val="1"/>
          <w:color w:val="0070c0"/>
        </w:rPr>
      </w:pPr>
      <w:r w:rsidDel="00000000" w:rsidR="00000000" w:rsidRPr="00000000">
        <w:rPr>
          <w:b w:val="1"/>
          <w:color w:val="0070c0"/>
          <w:rtl w:val="0"/>
        </w:rPr>
        <w:t xml:space="preserve">Kind regards</w:t>
      </w:r>
    </w:p>
    <w:p w:rsidR="00000000" w:rsidDel="00000000" w:rsidP="00000000" w:rsidRDefault="00000000" w:rsidRPr="00000000" w14:paraId="0000005A">
      <w:pPr>
        <w:spacing w:after="0" w:lineRule="auto"/>
        <w:ind w:left="0" w:firstLine="0"/>
        <w:contextualSpacing w:val="0"/>
        <w:rPr>
          <w:b w:val="1"/>
          <w:color w:val="0070c0"/>
        </w:rPr>
      </w:pPr>
      <w:r w:rsidDel="00000000" w:rsidR="00000000" w:rsidRPr="00000000">
        <w:rPr>
          <w:b w:val="1"/>
          <w:color w:val="0070c0"/>
          <w:rtl w:val="0"/>
        </w:rPr>
        <w:t xml:space="preserve">bryan</w:t>
      </w:r>
    </w:p>
    <w:p w:rsidR="00000000" w:rsidDel="00000000" w:rsidP="00000000" w:rsidRDefault="00000000" w:rsidRPr="00000000" w14:paraId="0000005B">
      <w:pPr>
        <w:spacing w:after="0" w:lineRule="auto"/>
        <w:ind w:left="0" w:firstLine="0"/>
        <w:contextualSpacing w:val="0"/>
        <w:rPr>
          <w:b w:val="1"/>
          <w:color w:val="0070c0"/>
        </w:rPr>
      </w:pPr>
      <w:r w:rsidDel="00000000" w:rsidR="00000000" w:rsidRPr="00000000">
        <w:rPr>
          <w:b w:val="1"/>
          <w:color w:val="0070c0"/>
          <w:rtl w:val="0"/>
        </w:rPr>
        <w:t xml:space="preserve">Kayemba brian </w:t>
      </w:r>
    </w:p>
    <w:p w:rsidR="00000000" w:rsidDel="00000000" w:rsidP="00000000" w:rsidRDefault="00000000" w:rsidRPr="00000000" w14:paraId="0000005C">
      <w:pPr>
        <w:spacing w:after="0" w:lineRule="auto"/>
        <w:ind w:left="0" w:firstLine="0"/>
        <w:contextualSpacing w:val="0"/>
        <w:rPr>
          <w:b w:val="1"/>
          <w:color w:val="0070c0"/>
        </w:rPr>
      </w:pPr>
      <w:r w:rsidDel="00000000" w:rsidR="00000000" w:rsidRPr="00000000">
        <w:rPr>
          <w:b w:val="1"/>
          <w:color w:val="0070c0"/>
          <w:rtl w:val="0"/>
        </w:rPr>
        <w:t xml:space="preserve">HIV TESTING RESEARCH CORDINATOR </w:t>
      </w:r>
    </w:p>
    <w:p w:rsidR="00000000" w:rsidDel="00000000" w:rsidP="00000000" w:rsidRDefault="00000000" w:rsidRPr="00000000" w14:paraId="0000005D">
      <w:pPr>
        <w:spacing w:after="0" w:lineRule="auto"/>
        <w:ind w:left="0" w:firstLine="0"/>
        <w:contextualSpacing w:val="0"/>
        <w:rPr>
          <w:b w:val="1"/>
          <w:color w:val="0070c0"/>
        </w:rPr>
      </w:pPr>
      <w:r w:rsidDel="00000000" w:rsidR="00000000" w:rsidRPr="00000000">
        <w:rPr>
          <w:b w:val="1"/>
          <w:color w:val="0070c0"/>
          <w:rtl w:val="0"/>
        </w:rPr>
        <w:t xml:space="preserve">NORTHERN UGANDA</w:t>
      </w:r>
    </w:p>
    <w:p w:rsidR="00000000" w:rsidDel="00000000" w:rsidP="00000000" w:rsidRDefault="00000000" w:rsidRPr="00000000" w14:paraId="0000005E">
      <w:pPr>
        <w:spacing w:after="0" w:lineRule="auto"/>
        <w:ind w:left="0" w:firstLine="0"/>
        <w:contextualSpacing w:val="0"/>
        <w:rPr>
          <w:b w:val="1"/>
          <w:color w:val="0070c0"/>
        </w:rPr>
      </w:pPr>
      <w:hyperlink r:id="rId8">
        <w:r w:rsidDel="00000000" w:rsidR="00000000" w:rsidRPr="00000000">
          <w:rPr>
            <w:b w:val="1"/>
            <w:color w:val="1155cc"/>
            <w:u w:val="single"/>
            <w:rtl w:val="0"/>
          </w:rPr>
          <w:t xml:space="preserve">Kayembaabbie@gmail.com</w:t>
        </w:r>
      </w:hyperlink>
      <w:r w:rsidDel="00000000" w:rsidR="00000000" w:rsidRPr="00000000">
        <w:rPr>
          <w:b w:val="1"/>
          <w:color w:val="0070c0"/>
          <w:rtl w:val="0"/>
        </w:rPr>
        <w:t xml:space="preserve"> </w:t>
      </w:r>
    </w:p>
    <w:p w:rsidR="00000000" w:rsidDel="00000000" w:rsidP="00000000" w:rsidRDefault="00000000" w:rsidRPr="00000000" w14:paraId="0000005F">
      <w:pPr>
        <w:spacing w:after="0" w:lineRule="auto"/>
        <w:ind w:left="0" w:firstLine="0"/>
        <w:contextualSpacing w:val="0"/>
        <w:rPr>
          <w:b w:val="1"/>
          <w:color w:val="0070c0"/>
        </w:rPr>
      </w:pPr>
      <w:r w:rsidDel="00000000" w:rsidR="00000000" w:rsidRPr="00000000">
        <w:rPr>
          <w:b w:val="1"/>
          <w:color w:val="0070c0"/>
          <w:rtl w:val="0"/>
        </w:rPr>
        <w:t xml:space="preserve">+256774875462</w:t>
      </w:r>
    </w:p>
    <w:p w:rsidR="00000000" w:rsidDel="00000000" w:rsidP="00000000" w:rsidRDefault="00000000" w:rsidRPr="00000000" w14:paraId="00000060">
      <w:pPr>
        <w:spacing w:after="0" w:lineRule="auto"/>
        <w:contextualSpacing w:val="0"/>
        <w:rPr>
          <w:b w:val="1"/>
          <w:color w:val="0070c0"/>
        </w:rPr>
      </w:pPr>
      <w:r w:rsidDel="00000000" w:rsidR="00000000" w:rsidRPr="00000000">
        <w:rPr>
          <w:rtl w:val="0"/>
        </w:rPr>
      </w:r>
    </w:p>
    <w:sectPr>
      <w:headerReference r:id="rId9" w:type="default"/>
      <w:headerReference r:id="rId10" w:type="first"/>
      <w:headerReference r:id="rId11" w:type="even"/>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spacing w:after="0" w:line="360" w:lineRule="auto"/>
      <w:ind w:right="-1566"/>
    </w:pPr>
    <w:rPr>
      <w:rFonts w:ascii="Times New Roman" w:cs="Times New Roman" w:eastAsia="Times New Roman" w:hAnsi="Times New Roman"/>
      <w:b w:val="1"/>
      <w:sz w:val="24"/>
      <w:szCs w:val="24"/>
    </w:rPr>
  </w:style>
  <w:style w:type="paragraph" w:styleId="Heading6">
    <w:name w:val="heading 6"/>
    <w:basedOn w:val="Normal"/>
    <w:next w:val="Normal"/>
    <w:pPr>
      <w:keepNext w:val="1"/>
      <w:keepLines w:val="1"/>
      <w:spacing w:after="0" w:before="200" w:lineRule="auto"/>
    </w:pPr>
    <w:rPr>
      <w:rFonts w:ascii="Cambria" w:cs="Cambria" w:eastAsia="Cambria" w:hAnsi="Cambria"/>
      <w:i w:val="1"/>
      <w:color w:val="243f61"/>
    </w:rPr>
  </w:style>
  <w:style w:type="paragraph" w:styleId="Title">
    <w:name w:val="Title"/>
    <w:basedOn w:val="Normal"/>
    <w:next w:val="Normal"/>
    <w:pPr>
      <w:spacing w:after="60" w:before="240" w:lineRule="auto"/>
      <w:jc w:val="center"/>
    </w:pPr>
    <w:rPr>
      <w:rFonts w:ascii="Cambria" w:cs="Cambria" w:eastAsia="Cambria" w:hAnsi="Cambria"/>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spacing w:after="0" w:line="360" w:lineRule="auto"/>
      <w:ind w:right="-1566"/>
    </w:pPr>
    <w:rPr>
      <w:rFonts w:ascii="Times New Roman" w:cs="Times New Roman" w:eastAsia="Times New Roman" w:hAnsi="Times New Roman"/>
      <w:b w:val="1"/>
      <w:sz w:val="24"/>
      <w:szCs w:val="24"/>
    </w:rPr>
  </w:style>
  <w:style w:type="paragraph" w:styleId="Heading6">
    <w:name w:val="heading 6"/>
    <w:basedOn w:val="Normal"/>
    <w:next w:val="Normal"/>
    <w:pPr>
      <w:keepNext w:val="1"/>
      <w:keepLines w:val="1"/>
      <w:spacing w:after="0" w:before="200" w:lineRule="auto"/>
    </w:pPr>
    <w:rPr>
      <w:rFonts w:ascii="Cambria" w:cs="Cambria" w:eastAsia="Cambria" w:hAnsi="Cambria"/>
      <w:i w:val="1"/>
      <w:color w:val="243f61"/>
    </w:rPr>
  </w:style>
  <w:style w:type="paragraph" w:styleId="Title">
    <w:name w:val="Title"/>
    <w:basedOn w:val="Normal"/>
    <w:next w:val="Normal"/>
    <w:pPr>
      <w:spacing w:after="60" w:before="240" w:lineRule="auto"/>
      <w:jc w:val="center"/>
    </w:pPr>
    <w:rPr>
      <w:rFonts w:ascii="Cambria" w:cs="Cambria" w:eastAsia="Cambria" w:hAnsi="Cambria"/>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Kayembabryanz@gmail.com" TargetMode="External"/><Relationship Id="rId8" Type="http://schemas.openxmlformats.org/officeDocument/2006/relationships/hyperlink" Target="mailto:Kayembaabbi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