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3EB4" w:rsidRDefault="00083EB4" w:rsidP="00083EB4">
      <w:pPr>
        <w:rPr>
          <w:rFonts w:ascii="Arial" w:hAnsi="Arial" w:cs="Arial"/>
          <w:color w:val="000000"/>
          <w:sz w:val="21"/>
          <w:szCs w:val="21"/>
          <w:shd w:val="clear" w:color="auto" w:fill="FFFFFF"/>
        </w:rPr>
      </w:pPr>
      <w:r>
        <w:rPr>
          <w:rFonts w:ascii="Arial" w:hAnsi="Arial" w:cs="Arial"/>
          <w:b/>
          <w:bCs/>
          <w:color w:val="000000"/>
          <w:sz w:val="21"/>
          <w:szCs w:val="21"/>
        </w:rPr>
        <w:t>Predictors of Mortality in HIV patients with Severe PCP admitted to Intensive Care Unit: A systematic review</w:t>
      </w:r>
    </w:p>
    <w:p w:rsidR="00083EB4" w:rsidRPr="004B5926" w:rsidRDefault="00083EB4" w:rsidP="00083EB4">
      <w:pPr>
        <w:rPr>
          <w:rFonts w:ascii="Arial" w:hAnsi="Arial" w:cs="Arial"/>
          <w:sz w:val="20"/>
          <w:szCs w:val="20"/>
          <w:vertAlign w:val="superscript"/>
        </w:rPr>
      </w:pPr>
      <w:proofErr w:type="spellStart"/>
      <w:r>
        <w:rPr>
          <w:rFonts w:ascii="Arial" w:hAnsi="Arial" w:cs="Arial"/>
          <w:sz w:val="20"/>
          <w:szCs w:val="20"/>
        </w:rPr>
        <w:t>Lomencho</w:t>
      </w:r>
      <w:proofErr w:type="spellEnd"/>
      <w:r>
        <w:rPr>
          <w:rFonts w:ascii="Arial" w:hAnsi="Arial" w:cs="Arial"/>
          <w:sz w:val="20"/>
          <w:szCs w:val="20"/>
        </w:rPr>
        <w:t xml:space="preserve"> A .</w:t>
      </w:r>
      <w:r w:rsidRPr="004B5926">
        <w:rPr>
          <w:rFonts w:ascii="Arial" w:hAnsi="Arial" w:cs="Arial"/>
          <w:sz w:val="20"/>
          <w:szCs w:val="20"/>
          <w:vertAlign w:val="superscript"/>
        </w:rPr>
        <w:t>1</w:t>
      </w:r>
      <w:r w:rsidRPr="004B5926">
        <w:rPr>
          <w:rFonts w:ascii="Arial" w:hAnsi="Arial" w:cs="Arial"/>
          <w:sz w:val="20"/>
          <w:szCs w:val="20"/>
        </w:rPr>
        <w:t xml:space="preserve">, </w:t>
      </w:r>
      <w:proofErr w:type="spellStart"/>
      <w:r>
        <w:rPr>
          <w:rFonts w:ascii="Arial" w:hAnsi="Arial" w:cs="Arial"/>
          <w:sz w:val="20"/>
          <w:szCs w:val="20"/>
        </w:rPr>
        <w:t>Fantaye</w:t>
      </w:r>
      <w:proofErr w:type="spellEnd"/>
      <w:r>
        <w:rPr>
          <w:rFonts w:ascii="Arial" w:hAnsi="Arial" w:cs="Arial"/>
          <w:sz w:val="20"/>
          <w:szCs w:val="20"/>
        </w:rPr>
        <w:t xml:space="preserve"> H</w:t>
      </w:r>
      <w:r w:rsidRPr="004B5926">
        <w:rPr>
          <w:rFonts w:ascii="Arial" w:hAnsi="Arial" w:cs="Arial"/>
          <w:sz w:val="20"/>
          <w:szCs w:val="20"/>
        </w:rPr>
        <w:t>.</w:t>
      </w:r>
      <w:r w:rsidRPr="004B5926">
        <w:rPr>
          <w:rFonts w:ascii="Arial" w:hAnsi="Arial" w:cs="Arial"/>
          <w:sz w:val="20"/>
          <w:szCs w:val="20"/>
          <w:vertAlign w:val="superscript"/>
        </w:rPr>
        <w:t>2</w:t>
      </w:r>
      <w:r w:rsidRPr="004B5926">
        <w:rPr>
          <w:rFonts w:ascii="Arial" w:hAnsi="Arial" w:cs="Arial"/>
          <w:sz w:val="20"/>
          <w:szCs w:val="20"/>
        </w:rPr>
        <w:t xml:space="preserve">, </w:t>
      </w:r>
      <w:proofErr w:type="spellStart"/>
      <w:r>
        <w:rPr>
          <w:rFonts w:ascii="Arial" w:hAnsi="Arial" w:cs="Arial"/>
          <w:sz w:val="20"/>
          <w:szCs w:val="20"/>
        </w:rPr>
        <w:t>Azazh</w:t>
      </w:r>
      <w:proofErr w:type="spellEnd"/>
      <w:r>
        <w:rPr>
          <w:rFonts w:ascii="Arial" w:hAnsi="Arial" w:cs="Arial"/>
          <w:sz w:val="20"/>
          <w:szCs w:val="20"/>
        </w:rPr>
        <w:t xml:space="preserve"> A</w:t>
      </w:r>
      <w:r w:rsidRPr="004B5926">
        <w:rPr>
          <w:rFonts w:ascii="Arial" w:hAnsi="Arial" w:cs="Arial"/>
          <w:sz w:val="20"/>
          <w:szCs w:val="20"/>
        </w:rPr>
        <w:t>.</w:t>
      </w:r>
      <w:r w:rsidRPr="004B5926">
        <w:rPr>
          <w:rFonts w:ascii="Arial" w:hAnsi="Arial" w:cs="Arial"/>
          <w:sz w:val="20"/>
          <w:szCs w:val="20"/>
          <w:vertAlign w:val="superscript"/>
        </w:rPr>
        <w:t>3</w:t>
      </w:r>
    </w:p>
    <w:p w:rsidR="00083EB4" w:rsidRPr="004B5926" w:rsidRDefault="00083EB4" w:rsidP="00083EB4">
      <w:pPr>
        <w:rPr>
          <w:rFonts w:ascii="Arial" w:hAnsi="Arial" w:cs="Arial"/>
          <w:sz w:val="20"/>
          <w:szCs w:val="20"/>
        </w:rPr>
      </w:pPr>
      <w:r w:rsidRPr="004B5926">
        <w:rPr>
          <w:rFonts w:ascii="Arial" w:hAnsi="Arial" w:cs="Arial"/>
          <w:sz w:val="20"/>
          <w:szCs w:val="20"/>
          <w:vertAlign w:val="superscript"/>
        </w:rPr>
        <w:t>1</w:t>
      </w:r>
      <w:r>
        <w:rPr>
          <w:rFonts w:ascii="Arial" w:hAnsi="Arial" w:cs="Arial"/>
          <w:sz w:val="20"/>
          <w:szCs w:val="20"/>
        </w:rPr>
        <w:t>MEPI Junior Scholars Program, Addis Ababa, Ethiopia</w:t>
      </w:r>
      <w:r w:rsidRPr="004B5926">
        <w:rPr>
          <w:rFonts w:ascii="Arial" w:hAnsi="Arial" w:cs="Arial"/>
          <w:sz w:val="20"/>
          <w:szCs w:val="20"/>
        </w:rPr>
        <w:t>;</w:t>
      </w:r>
      <w:r>
        <w:rPr>
          <w:rFonts w:ascii="Arial" w:hAnsi="Arial" w:cs="Arial"/>
          <w:sz w:val="20"/>
          <w:szCs w:val="20"/>
        </w:rPr>
        <w:t xml:space="preserve"> Ethiopian society of Internal Medicine</w:t>
      </w:r>
      <w:r w:rsidRPr="004B5926">
        <w:rPr>
          <w:rFonts w:ascii="Arial" w:hAnsi="Arial" w:cs="Arial"/>
          <w:sz w:val="20"/>
          <w:szCs w:val="20"/>
        </w:rPr>
        <w:t xml:space="preserve"> </w:t>
      </w:r>
      <w:r w:rsidRPr="004B5926">
        <w:rPr>
          <w:rFonts w:ascii="Arial" w:hAnsi="Arial" w:cs="Arial"/>
          <w:sz w:val="20"/>
          <w:szCs w:val="20"/>
          <w:vertAlign w:val="superscript"/>
        </w:rPr>
        <w:t>2</w:t>
      </w:r>
      <w:r>
        <w:rPr>
          <w:rFonts w:ascii="Arial" w:hAnsi="Arial" w:cs="Arial"/>
          <w:sz w:val="20"/>
          <w:szCs w:val="20"/>
        </w:rPr>
        <w:t>Emergency and Critical Care Directorate, Federal Ministry of Health, Addis Ababa, Ethiopia;</w:t>
      </w:r>
      <w:r w:rsidRPr="004B5926">
        <w:rPr>
          <w:rFonts w:ascii="Arial" w:hAnsi="Arial" w:cs="Arial"/>
          <w:sz w:val="20"/>
          <w:szCs w:val="20"/>
        </w:rPr>
        <w:t xml:space="preserve"> </w:t>
      </w:r>
      <w:r w:rsidRPr="004B5926">
        <w:rPr>
          <w:rFonts w:ascii="Arial" w:hAnsi="Arial" w:cs="Arial"/>
          <w:sz w:val="20"/>
          <w:szCs w:val="20"/>
          <w:vertAlign w:val="superscript"/>
        </w:rPr>
        <w:t>3</w:t>
      </w:r>
      <w:r>
        <w:rPr>
          <w:rFonts w:ascii="Arial" w:hAnsi="Arial" w:cs="Arial"/>
          <w:sz w:val="20"/>
          <w:szCs w:val="20"/>
        </w:rPr>
        <w:t>Emergency and Critical Care, College of Health Sciences, Addis Ababa University, Addis Ababa, Ethiopia</w:t>
      </w:r>
    </w:p>
    <w:p w:rsidR="00083EB4" w:rsidRDefault="00083EB4" w:rsidP="00083EB4">
      <w:pPr>
        <w:rPr>
          <w:rFonts w:ascii="Arial" w:hAnsi="Arial" w:cs="Arial"/>
          <w:color w:val="000000"/>
          <w:sz w:val="21"/>
          <w:szCs w:val="21"/>
          <w:shd w:val="clear" w:color="auto" w:fill="FFFFFF"/>
        </w:rPr>
      </w:pPr>
      <w:r>
        <w:rPr>
          <w:rFonts w:ascii="Arial" w:hAnsi="Arial" w:cs="Arial"/>
          <w:color w:val="000000"/>
          <w:sz w:val="21"/>
          <w:szCs w:val="21"/>
        </w:rPr>
        <w:br/>
      </w:r>
      <w:r>
        <w:rPr>
          <w:rFonts w:ascii="Arial" w:hAnsi="Arial" w:cs="Arial"/>
          <w:b/>
          <w:bCs/>
          <w:color w:val="000000"/>
          <w:sz w:val="21"/>
          <w:szCs w:val="21"/>
        </w:rPr>
        <w:t>Introduction:</w:t>
      </w:r>
      <w:r>
        <w:rPr>
          <w:rStyle w:val="apple-converted-space"/>
          <w:rFonts w:ascii="Arial" w:hAnsi="Arial" w:cs="Arial"/>
          <w:b/>
          <w:bCs/>
          <w:color w:val="000000"/>
          <w:sz w:val="21"/>
          <w:szCs w:val="21"/>
        </w:rPr>
        <w:t> </w:t>
      </w:r>
      <w:r>
        <w:rPr>
          <w:rFonts w:ascii="Arial" w:hAnsi="Arial" w:cs="Arial"/>
          <w:color w:val="000000"/>
          <w:sz w:val="21"/>
          <w:szCs w:val="21"/>
          <w:shd w:val="clear" w:color="auto" w:fill="FFFFFF"/>
        </w:rPr>
        <w:t>Despite current developments in HIV medicine and wide scale use of HAART, PCP (</w:t>
      </w:r>
      <w:proofErr w:type="spellStart"/>
      <w:r>
        <w:rPr>
          <w:rFonts w:ascii="Arial" w:hAnsi="Arial" w:cs="Arial"/>
          <w:color w:val="000000"/>
          <w:sz w:val="21"/>
          <w:szCs w:val="21"/>
          <w:shd w:val="clear" w:color="auto" w:fill="FFFFFF"/>
        </w:rPr>
        <w:t>Pneumocystis</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Carinii</w:t>
      </w:r>
      <w:proofErr w:type="spellEnd"/>
      <w:r>
        <w:rPr>
          <w:rFonts w:ascii="Arial" w:hAnsi="Arial" w:cs="Arial"/>
          <w:color w:val="000000"/>
          <w:sz w:val="21"/>
          <w:szCs w:val="21"/>
          <w:shd w:val="clear" w:color="auto" w:fill="FFFFFF"/>
        </w:rPr>
        <w:t xml:space="preserve"> Pneumonia) still remains to be an important cause of respiratory failure requiring ICU (Intensive Care Unit) care especially in developing countries. To date, there have been published studies on mortality predictors in PCP patients in ICU but not systematic reviews.</w:t>
      </w:r>
    </w:p>
    <w:p w:rsidR="00083EB4" w:rsidRDefault="00083EB4" w:rsidP="00083EB4">
      <w:pPr>
        <w:rPr>
          <w:rFonts w:ascii="Arial" w:hAnsi="Arial" w:cs="Arial"/>
          <w:color w:val="000000"/>
          <w:sz w:val="21"/>
          <w:szCs w:val="21"/>
          <w:shd w:val="clear" w:color="auto" w:fill="FFFFFF"/>
        </w:rPr>
      </w:pPr>
      <w:r>
        <w:rPr>
          <w:rFonts w:ascii="Arial" w:hAnsi="Arial" w:cs="Arial"/>
          <w:color w:val="000000"/>
          <w:sz w:val="21"/>
          <w:szCs w:val="21"/>
        </w:rPr>
        <w:br/>
      </w:r>
      <w:r>
        <w:rPr>
          <w:rFonts w:ascii="Arial" w:hAnsi="Arial" w:cs="Arial"/>
          <w:b/>
          <w:bCs/>
          <w:color w:val="000000"/>
          <w:sz w:val="21"/>
          <w:szCs w:val="21"/>
        </w:rPr>
        <w:t>Aim:</w:t>
      </w:r>
      <w:r>
        <w:rPr>
          <w:rStyle w:val="apple-converted-space"/>
          <w:rFonts w:ascii="Arial" w:hAnsi="Arial" w:cs="Arial"/>
          <w:b/>
          <w:bCs/>
          <w:color w:val="000000"/>
          <w:sz w:val="21"/>
          <w:szCs w:val="21"/>
        </w:rPr>
        <w:t> </w:t>
      </w:r>
      <w:r>
        <w:rPr>
          <w:rFonts w:ascii="Arial" w:hAnsi="Arial" w:cs="Arial"/>
          <w:color w:val="000000"/>
          <w:sz w:val="21"/>
          <w:szCs w:val="21"/>
          <w:shd w:val="clear" w:color="auto" w:fill="FFFFFF"/>
        </w:rPr>
        <w:t>To look in to mortality predictors in HIV patients with severe PCP receiving ICU care.</w:t>
      </w:r>
    </w:p>
    <w:p w:rsidR="00083EB4" w:rsidRDefault="00083EB4" w:rsidP="00083EB4">
      <w:pPr>
        <w:rPr>
          <w:rFonts w:ascii="Arial" w:hAnsi="Arial" w:cs="Arial"/>
          <w:color w:val="000000"/>
          <w:sz w:val="21"/>
          <w:szCs w:val="21"/>
          <w:shd w:val="clear" w:color="auto" w:fill="FFFFFF"/>
        </w:rPr>
      </w:pPr>
      <w:r>
        <w:rPr>
          <w:rFonts w:ascii="Arial" w:hAnsi="Arial" w:cs="Arial"/>
          <w:color w:val="000000"/>
          <w:sz w:val="21"/>
          <w:szCs w:val="21"/>
        </w:rPr>
        <w:br/>
      </w:r>
      <w:r>
        <w:rPr>
          <w:rFonts w:ascii="Arial" w:hAnsi="Arial" w:cs="Arial"/>
          <w:b/>
          <w:bCs/>
          <w:color w:val="000000"/>
          <w:sz w:val="21"/>
          <w:szCs w:val="21"/>
        </w:rPr>
        <w:t>Methods:</w:t>
      </w:r>
      <w:r>
        <w:rPr>
          <w:rStyle w:val="apple-converted-space"/>
          <w:rFonts w:ascii="Arial" w:hAnsi="Arial" w:cs="Arial"/>
          <w:b/>
          <w:bCs/>
          <w:color w:val="000000"/>
          <w:sz w:val="21"/>
          <w:szCs w:val="21"/>
        </w:rPr>
        <w:t> </w:t>
      </w:r>
      <w:r>
        <w:rPr>
          <w:rFonts w:ascii="Arial" w:hAnsi="Arial" w:cs="Arial"/>
          <w:color w:val="000000"/>
          <w:sz w:val="21"/>
          <w:szCs w:val="21"/>
          <w:shd w:val="clear" w:color="auto" w:fill="FFFFFF"/>
        </w:rPr>
        <w:t xml:space="preserve">A systematic review was done to look for predictors of mortality in HIV patients with severe PCP admitted to ICU. Eligible studies are cohort and case control study designs that report predictors or risk factors for ICU mortality. Studies that reported separate outcome for ICU patients with HIV/PCP were included. </w:t>
      </w:r>
      <w:proofErr w:type="spellStart"/>
      <w:r>
        <w:rPr>
          <w:rFonts w:ascii="Arial" w:hAnsi="Arial" w:cs="Arial"/>
          <w:color w:val="000000"/>
          <w:sz w:val="21"/>
          <w:szCs w:val="21"/>
          <w:shd w:val="clear" w:color="auto" w:fill="FFFFFF"/>
        </w:rPr>
        <w:t>Pubmed</w:t>
      </w:r>
      <w:proofErr w:type="spellEnd"/>
      <w:r>
        <w:rPr>
          <w:rFonts w:ascii="Arial" w:hAnsi="Arial" w:cs="Arial"/>
          <w:color w:val="000000"/>
          <w:sz w:val="21"/>
          <w:szCs w:val="21"/>
          <w:shd w:val="clear" w:color="auto" w:fill="FFFFFF"/>
        </w:rPr>
        <w:t xml:space="preserve">, </w:t>
      </w:r>
      <w:proofErr w:type="spellStart"/>
      <w:r>
        <w:rPr>
          <w:rFonts w:ascii="Arial" w:hAnsi="Arial" w:cs="Arial"/>
          <w:color w:val="000000"/>
          <w:sz w:val="21"/>
          <w:szCs w:val="21"/>
          <w:shd w:val="clear" w:color="auto" w:fill="FFFFFF"/>
        </w:rPr>
        <w:t>Embase</w:t>
      </w:r>
      <w:proofErr w:type="spellEnd"/>
      <w:r>
        <w:rPr>
          <w:rFonts w:ascii="Arial" w:hAnsi="Arial" w:cs="Arial"/>
          <w:color w:val="000000"/>
          <w:sz w:val="21"/>
          <w:szCs w:val="21"/>
          <w:shd w:val="clear" w:color="auto" w:fill="FFFFFF"/>
        </w:rPr>
        <w:t xml:space="preserve"> and Medline search was made. In addition grey literature search was also made to address publication bias. Two authors independently screened titles and abstracts of all citations identified in the search. Quality assessment of relevant articles was made using CASP tool for cohort study appraisal.</w:t>
      </w:r>
    </w:p>
    <w:p w:rsidR="00083EB4" w:rsidRDefault="00083EB4" w:rsidP="00083EB4">
      <w:pPr>
        <w:rPr>
          <w:rFonts w:ascii="Arial" w:hAnsi="Arial" w:cs="Arial"/>
          <w:color w:val="000000"/>
          <w:sz w:val="21"/>
          <w:szCs w:val="21"/>
          <w:shd w:val="clear" w:color="auto" w:fill="FFFFFF"/>
        </w:rPr>
      </w:pPr>
      <w:r>
        <w:rPr>
          <w:rFonts w:ascii="Arial" w:hAnsi="Arial" w:cs="Arial"/>
          <w:color w:val="000000"/>
          <w:sz w:val="21"/>
          <w:szCs w:val="21"/>
        </w:rPr>
        <w:br/>
      </w:r>
      <w:r>
        <w:rPr>
          <w:rFonts w:ascii="Arial" w:hAnsi="Arial" w:cs="Arial"/>
          <w:b/>
          <w:bCs/>
          <w:color w:val="000000"/>
          <w:sz w:val="21"/>
          <w:szCs w:val="21"/>
        </w:rPr>
        <w:t>Results:</w:t>
      </w:r>
      <w:r>
        <w:rPr>
          <w:rStyle w:val="apple-converted-space"/>
          <w:rFonts w:ascii="Arial" w:hAnsi="Arial" w:cs="Arial"/>
          <w:b/>
          <w:bCs/>
          <w:color w:val="000000"/>
          <w:sz w:val="21"/>
          <w:szCs w:val="21"/>
        </w:rPr>
        <w:t> </w:t>
      </w:r>
      <w:r>
        <w:rPr>
          <w:rFonts w:ascii="Arial" w:hAnsi="Arial" w:cs="Arial"/>
          <w:color w:val="000000"/>
          <w:sz w:val="21"/>
          <w:szCs w:val="21"/>
          <w:shd w:val="clear" w:color="auto" w:fill="FFFFFF"/>
        </w:rPr>
        <w:t xml:space="preserve">Initial search resulted 257 articles, out of which a final 8 were included in synthesis. Most studies were in the pre-HAART era. All studies had a cohort design. Overall mortality ranged from 53%-81% in the pre-HAART which reduced to 25% following introduction of HARRT. In the high quality studies, need of mechanical ventilator and/or development of </w:t>
      </w:r>
      <w:proofErr w:type="spellStart"/>
      <w:r>
        <w:rPr>
          <w:rFonts w:ascii="Arial" w:hAnsi="Arial" w:cs="Arial"/>
          <w:color w:val="000000"/>
          <w:sz w:val="21"/>
          <w:szCs w:val="21"/>
          <w:shd w:val="clear" w:color="auto" w:fill="FFFFFF"/>
        </w:rPr>
        <w:t>pneumothorax</w:t>
      </w:r>
      <w:proofErr w:type="spellEnd"/>
      <w:r>
        <w:rPr>
          <w:rFonts w:ascii="Arial" w:hAnsi="Arial" w:cs="Arial"/>
          <w:color w:val="000000"/>
          <w:sz w:val="21"/>
          <w:szCs w:val="21"/>
          <w:shd w:val="clear" w:color="auto" w:fill="FFFFFF"/>
        </w:rPr>
        <w:t xml:space="preserve"> (OR ranging between </w:t>
      </w:r>
      <w:r w:rsidRPr="00412DD8">
        <w:t xml:space="preserve">5.18 (1.16 to 23.15) </w:t>
      </w:r>
      <w:r>
        <w:t>p=</w:t>
      </w:r>
      <w:r w:rsidRPr="00412DD8">
        <w:t>0.031</w:t>
      </w:r>
      <w:r>
        <w:t xml:space="preserve"> and </w:t>
      </w:r>
      <w:r w:rsidRPr="00C97194">
        <w:t>20.9 (1.9-227.2) p=0.01</w:t>
      </w:r>
      <w:r>
        <w:t>)</w:t>
      </w:r>
      <w:r>
        <w:rPr>
          <w:rFonts w:ascii="Arial" w:hAnsi="Arial" w:cs="Arial"/>
          <w:color w:val="000000"/>
          <w:sz w:val="21"/>
          <w:szCs w:val="21"/>
          <w:shd w:val="clear" w:color="auto" w:fill="FFFFFF"/>
        </w:rPr>
        <w:t>, were significantly associated with mortality after adjusting for confounders.</w:t>
      </w:r>
    </w:p>
    <w:p w:rsidR="00083EB4" w:rsidRDefault="00083EB4" w:rsidP="00083EB4">
      <w:pPr>
        <w:rPr>
          <w:rFonts w:ascii="Arial" w:hAnsi="Arial" w:cs="Arial"/>
          <w:color w:val="000000"/>
          <w:sz w:val="21"/>
          <w:szCs w:val="21"/>
          <w:shd w:val="clear" w:color="auto" w:fill="FFFFFF"/>
        </w:rPr>
      </w:pPr>
      <w:r>
        <w:rPr>
          <w:rFonts w:ascii="Arial" w:hAnsi="Arial" w:cs="Arial"/>
          <w:color w:val="000000"/>
          <w:sz w:val="21"/>
          <w:szCs w:val="21"/>
        </w:rPr>
        <w:br/>
      </w:r>
      <w:r>
        <w:rPr>
          <w:rFonts w:ascii="Arial" w:hAnsi="Arial" w:cs="Arial"/>
          <w:b/>
          <w:bCs/>
          <w:color w:val="000000"/>
          <w:sz w:val="21"/>
          <w:szCs w:val="21"/>
        </w:rPr>
        <w:t>Conclusion:</w:t>
      </w:r>
      <w:r>
        <w:rPr>
          <w:rStyle w:val="apple-converted-space"/>
          <w:rFonts w:ascii="Arial" w:hAnsi="Arial" w:cs="Arial"/>
          <w:b/>
          <w:bCs/>
          <w:color w:val="000000"/>
          <w:sz w:val="21"/>
          <w:szCs w:val="21"/>
        </w:rPr>
        <w:t> </w:t>
      </w:r>
      <w:r>
        <w:rPr>
          <w:rFonts w:ascii="Arial" w:hAnsi="Arial" w:cs="Arial"/>
          <w:color w:val="000000"/>
          <w:sz w:val="21"/>
          <w:szCs w:val="21"/>
          <w:shd w:val="clear" w:color="auto" w:fill="FFFFFF"/>
        </w:rPr>
        <w:t xml:space="preserve">The results of this review indicate HAART improved intensive care unit mortality among HIV patients with severe PCP. Those patients requiring mechanical ventilator, developing </w:t>
      </w:r>
      <w:proofErr w:type="spellStart"/>
      <w:r>
        <w:rPr>
          <w:rFonts w:ascii="Arial" w:hAnsi="Arial" w:cs="Arial"/>
          <w:color w:val="000000"/>
          <w:sz w:val="21"/>
          <w:szCs w:val="21"/>
          <w:shd w:val="clear" w:color="auto" w:fill="FFFFFF"/>
        </w:rPr>
        <w:t>pneumothorax</w:t>
      </w:r>
      <w:proofErr w:type="spellEnd"/>
      <w:r>
        <w:rPr>
          <w:rFonts w:ascii="Arial" w:hAnsi="Arial" w:cs="Arial"/>
          <w:color w:val="000000"/>
          <w:sz w:val="21"/>
          <w:szCs w:val="21"/>
          <w:shd w:val="clear" w:color="auto" w:fill="FFFFFF"/>
        </w:rPr>
        <w:t xml:space="preserve"> and receiving longer duration medical therapy prior to ICU admission had a worse prognosis. Mortality predictors generally were comparable in pre and post HAART era.</w:t>
      </w:r>
    </w:p>
    <w:p w:rsidR="007B2250" w:rsidRDefault="007B2250"/>
    <w:sectPr w:rsidR="007B2250" w:rsidSect="007B225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3EB4"/>
    <w:rsid w:val="00083EB4"/>
    <w:rsid w:val="007B22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EB4"/>
    <w:pPr>
      <w:spacing w:after="0" w:line="240" w:lineRule="auto"/>
    </w:pPr>
    <w:rPr>
      <w:rFonts w:eastAsiaTheme="minorEastAsi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83EB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366</Words>
  <Characters>2087</Characters>
  <Application>Microsoft Office Word</Application>
  <DocSecurity>0</DocSecurity>
  <Lines>17</Lines>
  <Paragraphs>4</Paragraphs>
  <ScaleCrop>false</ScaleCrop>
  <Company>Toshiba</Company>
  <LinksUpToDate>false</LinksUpToDate>
  <CharactersWithSpaces>2449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2017-05-22T10:39:00Z</dcterms:created>
  <dcterms:modified xsi:type="dcterms:W3CDTF">2017-05-22T10:42:00Z</dcterms:modified>
</cp:coreProperties>
</file>