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950D03" w14:textId="3EEB55A5" w:rsidR="00F01E5E" w:rsidRPr="00BA739C" w:rsidRDefault="00BA739C" w:rsidP="00BA739C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BA739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Enema delivered microbicide, a potential alternative to </w:t>
      </w:r>
      <w:proofErr w:type="spellStart"/>
      <w:r w:rsidRPr="00BA739C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PrEP</w:t>
      </w:r>
      <w:proofErr w:type="spellEnd"/>
    </w:p>
    <w:p w14:paraId="0A212554" w14:textId="7818DA12" w:rsidR="005F7954" w:rsidRPr="00733DAA" w:rsidRDefault="005F7954" w:rsidP="00DE14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3DAA">
        <w:rPr>
          <w:rFonts w:ascii="Times New Roman" w:hAnsi="Times New Roman" w:cs="Times New Roman"/>
          <w:sz w:val="24"/>
          <w:szCs w:val="24"/>
        </w:rPr>
        <w:t>Peng Xiao</w:t>
      </w:r>
      <w:r w:rsidRPr="00733DAA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733DAA">
        <w:rPr>
          <w:rFonts w:ascii="Times New Roman" w:hAnsi="Times New Roman" w:cs="Times New Roman"/>
          <w:sz w:val="24"/>
          <w:szCs w:val="24"/>
        </w:rPr>
        <w:t>, Sanjeev Gumber</w:t>
      </w:r>
      <w:r w:rsidRPr="00733DAA">
        <w:rPr>
          <w:rFonts w:ascii="Times New Roman" w:hAnsi="Times New Roman" w:cs="Times New Roman"/>
          <w:sz w:val="24"/>
          <w:szCs w:val="24"/>
          <w:vertAlign w:val="superscript"/>
        </w:rPr>
        <w:t>2*</w:t>
      </w:r>
      <w:r w:rsidRPr="00733DAA">
        <w:rPr>
          <w:rFonts w:ascii="Times New Roman" w:hAnsi="Times New Roman" w:cs="Times New Roman"/>
          <w:sz w:val="24"/>
          <w:szCs w:val="24"/>
        </w:rPr>
        <w:t xml:space="preserve">, Mark </w:t>
      </w:r>
      <w:r w:rsidR="004B1962">
        <w:rPr>
          <w:rFonts w:ascii="Times New Roman" w:hAnsi="Times New Roman" w:cs="Times New Roman"/>
          <w:sz w:val="24"/>
          <w:szCs w:val="24"/>
        </w:rPr>
        <w:t xml:space="preserve">A. </w:t>
      </w:r>
      <w:r w:rsidRPr="00733DAA">
        <w:rPr>
          <w:rFonts w:ascii="Times New Roman" w:hAnsi="Times New Roman" w:cs="Times New Roman"/>
          <w:sz w:val="24"/>
          <w:szCs w:val="24"/>
        </w:rPr>
        <w:t>Marzinke</w:t>
      </w:r>
      <w:r w:rsidRPr="00733DA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B1962">
        <w:rPr>
          <w:rFonts w:ascii="Times New Roman" w:hAnsi="Times New Roman" w:cs="Times New Roman"/>
          <w:sz w:val="24"/>
          <w:szCs w:val="24"/>
          <w:vertAlign w:val="superscript"/>
        </w:rPr>
        <w:t>, 4</w:t>
      </w:r>
      <w:r w:rsidRPr="00733D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01AB">
        <w:rPr>
          <w:rFonts w:ascii="Times New Roman" w:hAnsi="Times New Roman" w:cs="Times New Roman"/>
          <w:sz w:val="24"/>
          <w:szCs w:val="24"/>
        </w:rPr>
        <w:t>Abh</w:t>
      </w:r>
      <w:r w:rsidR="002116D8">
        <w:rPr>
          <w:rFonts w:ascii="Times New Roman" w:hAnsi="Times New Roman" w:cs="Times New Roman"/>
          <w:sz w:val="24"/>
          <w:szCs w:val="24"/>
        </w:rPr>
        <w:t>i</w:t>
      </w:r>
      <w:r w:rsidR="005901AB">
        <w:rPr>
          <w:rFonts w:ascii="Times New Roman" w:hAnsi="Times New Roman" w:cs="Times New Roman"/>
          <w:sz w:val="24"/>
          <w:szCs w:val="24"/>
        </w:rPr>
        <w:t>jit</w:t>
      </w:r>
      <w:proofErr w:type="spellEnd"/>
      <w:r w:rsidR="00BB0B7B">
        <w:rPr>
          <w:rFonts w:ascii="Times New Roman" w:hAnsi="Times New Roman" w:cs="Times New Roman"/>
          <w:sz w:val="24"/>
          <w:szCs w:val="24"/>
        </w:rPr>
        <w:t xml:space="preserve"> A. Date</w:t>
      </w:r>
      <w:r w:rsidR="005901A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BB0B7B">
        <w:rPr>
          <w:rFonts w:ascii="Times New Roman" w:hAnsi="Times New Roman" w:cs="Times New Roman"/>
          <w:sz w:val="24"/>
          <w:szCs w:val="24"/>
          <w:vertAlign w:val="superscript"/>
        </w:rPr>
        <w:t>,6</w:t>
      </w:r>
      <w:r w:rsidR="005901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0B7B">
        <w:rPr>
          <w:rFonts w:ascii="Times New Roman" w:hAnsi="Times New Roman" w:cs="Times New Roman"/>
          <w:sz w:val="24"/>
          <w:szCs w:val="24"/>
        </w:rPr>
        <w:t>Thuy</w:t>
      </w:r>
      <w:proofErr w:type="spellEnd"/>
      <w:r w:rsidR="00BB0B7B">
        <w:rPr>
          <w:rFonts w:ascii="Times New Roman" w:hAnsi="Times New Roman" w:cs="Times New Roman"/>
          <w:sz w:val="24"/>
          <w:szCs w:val="24"/>
        </w:rPr>
        <w:t xml:space="preserve"> </w:t>
      </w:r>
      <w:r w:rsidR="005901AB">
        <w:rPr>
          <w:rFonts w:ascii="Times New Roman" w:hAnsi="Times New Roman" w:cs="Times New Roman"/>
          <w:sz w:val="24"/>
          <w:szCs w:val="24"/>
        </w:rPr>
        <w:t>Hoang</w:t>
      </w:r>
      <w:r w:rsidR="005901A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BB0B7B">
        <w:rPr>
          <w:rFonts w:ascii="Times New Roman" w:hAnsi="Times New Roman" w:cs="Times New Roman"/>
          <w:sz w:val="24"/>
          <w:szCs w:val="24"/>
          <w:vertAlign w:val="superscript"/>
        </w:rPr>
        <w:t>,8</w:t>
      </w:r>
      <w:r w:rsidR="005901AB">
        <w:rPr>
          <w:rFonts w:ascii="Times New Roman" w:hAnsi="Times New Roman" w:cs="Times New Roman"/>
          <w:sz w:val="24"/>
          <w:szCs w:val="24"/>
        </w:rPr>
        <w:t xml:space="preserve">, </w:t>
      </w:r>
      <w:r w:rsidRPr="00733DAA">
        <w:rPr>
          <w:rFonts w:ascii="Times New Roman" w:hAnsi="Times New Roman" w:cs="Times New Roman"/>
          <w:sz w:val="24"/>
          <w:szCs w:val="24"/>
        </w:rPr>
        <w:t xml:space="preserve">Laura </w:t>
      </w:r>
      <w:r w:rsidR="00BC022E">
        <w:rPr>
          <w:rFonts w:ascii="Times New Roman" w:hAnsi="Times New Roman" w:cs="Times New Roman"/>
          <w:sz w:val="24"/>
          <w:szCs w:val="24"/>
        </w:rPr>
        <w:t xml:space="preserve">M. </w:t>
      </w:r>
      <w:r w:rsidR="004B1962" w:rsidRPr="00733DAA">
        <w:rPr>
          <w:rFonts w:ascii="Times New Roman" w:hAnsi="Times New Roman" w:cs="Times New Roman"/>
          <w:sz w:val="24"/>
          <w:szCs w:val="24"/>
        </w:rPr>
        <w:t>Ensign</w:t>
      </w:r>
      <w:r w:rsidR="004B1962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BB0B7B">
        <w:rPr>
          <w:rFonts w:ascii="Times New Roman" w:hAnsi="Times New Roman" w:cs="Times New Roman"/>
          <w:sz w:val="24"/>
          <w:szCs w:val="24"/>
          <w:vertAlign w:val="superscript"/>
        </w:rPr>
        <w:t>-9</w:t>
      </w:r>
      <w:r w:rsidRPr="00733DAA">
        <w:rPr>
          <w:rFonts w:ascii="Times New Roman" w:hAnsi="Times New Roman" w:cs="Times New Roman"/>
          <w:sz w:val="24"/>
          <w:szCs w:val="24"/>
        </w:rPr>
        <w:t xml:space="preserve">, </w:t>
      </w:r>
      <w:r w:rsidR="00F302CD">
        <w:rPr>
          <w:rFonts w:ascii="Times New Roman" w:hAnsi="Times New Roman" w:cs="Times New Roman"/>
          <w:sz w:val="24"/>
          <w:szCs w:val="24"/>
        </w:rPr>
        <w:t xml:space="preserve">Lisa </w:t>
      </w:r>
      <w:r w:rsidR="004B1962">
        <w:rPr>
          <w:rFonts w:ascii="Times New Roman" w:hAnsi="Times New Roman" w:cs="Times New Roman"/>
          <w:sz w:val="24"/>
          <w:szCs w:val="24"/>
        </w:rPr>
        <w:t>Rohan</w:t>
      </w:r>
      <w:r w:rsidR="00BB0B7B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F302CD">
        <w:rPr>
          <w:rFonts w:ascii="Times New Roman" w:hAnsi="Times New Roman" w:cs="Times New Roman"/>
          <w:sz w:val="24"/>
          <w:szCs w:val="24"/>
        </w:rPr>
        <w:t xml:space="preserve">, </w:t>
      </w:r>
      <w:r w:rsidRPr="00733DAA">
        <w:rPr>
          <w:rFonts w:ascii="Times New Roman" w:hAnsi="Times New Roman" w:cs="Times New Roman"/>
          <w:sz w:val="24"/>
          <w:szCs w:val="24"/>
        </w:rPr>
        <w:t xml:space="preserve">Edward </w:t>
      </w:r>
      <w:r w:rsidR="00E27CEF">
        <w:rPr>
          <w:rFonts w:ascii="Times New Roman" w:hAnsi="Times New Roman" w:cs="Times New Roman"/>
          <w:sz w:val="24"/>
          <w:szCs w:val="24"/>
        </w:rPr>
        <w:t xml:space="preserve">J. </w:t>
      </w:r>
      <w:r w:rsidR="004B1962" w:rsidRPr="00733DAA">
        <w:rPr>
          <w:rFonts w:ascii="Times New Roman" w:hAnsi="Times New Roman" w:cs="Times New Roman"/>
          <w:sz w:val="24"/>
          <w:szCs w:val="24"/>
        </w:rPr>
        <w:t>Fuchs</w:t>
      </w:r>
      <w:r w:rsidR="004B19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33DAA">
        <w:rPr>
          <w:rFonts w:ascii="Times New Roman" w:hAnsi="Times New Roman" w:cs="Times New Roman"/>
          <w:sz w:val="24"/>
          <w:szCs w:val="24"/>
        </w:rPr>
        <w:t xml:space="preserve">, Craig </w:t>
      </w:r>
      <w:r w:rsidR="004B1962" w:rsidRPr="00733DAA">
        <w:rPr>
          <w:rFonts w:ascii="Times New Roman" w:hAnsi="Times New Roman" w:cs="Times New Roman"/>
          <w:sz w:val="24"/>
          <w:szCs w:val="24"/>
        </w:rPr>
        <w:t>Hendrix</w:t>
      </w:r>
      <w:r w:rsidR="004B196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BB0B7B">
        <w:rPr>
          <w:rFonts w:ascii="Times New Roman" w:hAnsi="Times New Roman" w:cs="Times New Roman"/>
          <w:sz w:val="24"/>
          <w:szCs w:val="24"/>
          <w:vertAlign w:val="superscript"/>
        </w:rPr>
        <w:t>,8</w:t>
      </w:r>
      <w:r w:rsidRPr="00733DAA">
        <w:rPr>
          <w:rFonts w:ascii="Times New Roman" w:hAnsi="Times New Roman" w:cs="Times New Roman"/>
          <w:sz w:val="24"/>
          <w:szCs w:val="24"/>
        </w:rPr>
        <w:t>, Francois Villinger</w:t>
      </w:r>
      <w:r w:rsidRPr="00733DAA">
        <w:rPr>
          <w:rFonts w:ascii="Times New Roman" w:hAnsi="Times New Roman" w:cs="Times New Roman"/>
          <w:sz w:val="24"/>
          <w:szCs w:val="24"/>
          <w:vertAlign w:val="superscript"/>
        </w:rPr>
        <w:t>1#</w:t>
      </w:r>
    </w:p>
    <w:p w14:paraId="34A1B719" w14:textId="77777777" w:rsidR="005F7954" w:rsidRPr="00733DAA" w:rsidRDefault="005F7954" w:rsidP="00DE14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E470305" w14:textId="6AB5479C" w:rsidR="00F302CD" w:rsidRDefault="005F7954" w:rsidP="00DE14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B09F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3DAA">
        <w:rPr>
          <w:rFonts w:ascii="Times New Roman" w:hAnsi="Times New Roman" w:cs="Times New Roman"/>
          <w:sz w:val="24"/>
          <w:szCs w:val="24"/>
        </w:rPr>
        <w:t xml:space="preserve"> New Iberia Research Center, University of Louisiana at Lafayette, New Iberia, L</w:t>
      </w:r>
      <w:r w:rsidR="00F302CD">
        <w:rPr>
          <w:rFonts w:ascii="Times New Roman" w:hAnsi="Times New Roman" w:cs="Times New Roman"/>
          <w:sz w:val="24"/>
          <w:szCs w:val="24"/>
        </w:rPr>
        <w:t>A</w:t>
      </w:r>
      <w:r w:rsidR="00BA739C">
        <w:rPr>
          <w:rFonts w:ascii="Times New Roman" w:hAnsi="Times New Roman" w:cs="Times New Roman"/>
          <w:sz w:val="24"/>
          <w:szCs w:val="24"/>
        </w:rPr>
        <w:t xml:space="preserve">; </w:t>
      </w:r>
      <w:r w:rsidRPr="00F302C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3DAA">
        <w:rPr>
          <w:rFonts w:ascii="Times New Roman" w:hAnsi="Times New Roman" w:cs="Times New Roman"/>
          <w:sz w:val="24"/>
          <w:szCs w:val="24"/>
        </w:rPr>
        <w:t>Div</w:t>
      </w:r>
      <w:r w:rsidR="00BA739C"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of Pathology, Yerkes National Primate R</w:t>
      </w:r>
      <w:r w:rsidR="00F302CD">
        <w:rPr>
          <w:rFonts w:ascii="Times New Roman" w:hAnsi="Times New Roman" w:cs="Times New Roman"/>
          <w:sz w:val="24"/>
          <w:szCs w:val="24"/>
        </w:rPr>
        <w:t>esearch Center, Emory University, Atlanta, GA</w:t>
      </w:r>
      <w:r w:rsidR="00BA739C">
        <w:rPr>
          <w:rFonts w:ascii="Times New Roman" w:hAnsi="Times New Roman" w:cs="Times New Roman"/>
          <w:sz w:val="24"/>
          <w:szCs w:val="24"/>
        </w:rPr>
        <w:t xml:space="preserve">; </w:t>
      </w:r>
      <w:r w:rsidRPr="00F302C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33D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3DAA">
        <w:rPr>
          <w:rFonts w:ascii="Times New Roman" w:hAnsi="Times New Roman" w:cs="Times New Roman"/>
          <w:sz w:val="24"/>
          <w:szCs w:val="24"/>
        </w:rPr>
        <w:t>Dept</w:t>
      </w:r>
      <w:proofErr w:type="spellEnd"/>
      <w:r w:rsidR="00BB0B7B">
        <w:rPr>
          <w:rFonts w:ascii="Times New Roman" w:hAnsi="Times New Roman" w:cs="Times New Roman"/>
          <w:sz w:val="24"/>
          <w:szCs w:val="24"/>
        </w:rPr>
        <w:t xml:space="preserve"> of</w:t>
      </w:r>
      <w:r w:rsidRPr="00733DAA">
        <w:rPr>
          <w:rFonts w:ascii="Times New Roman" w:hAnsi="Times New Roman" w:cs="Times New Roman"/>
          <w:sz w:val="24"/>
          <w:szCs w:val="24"/>
        </w:rPr>
        <w:t xml:space="preserve"> Medicine</w:t>
      </w:r>
      <w:r w:rsidR="004B1962">
        <w:rPr>
          <w:rFonts w:ascii="Times New Roman" w:hAnsi="Times New Roman" w:cs="Times New Roman"/>
          <w:sz w:val="24"/>
          <w:szCs w:val="24"/>
        </w:rPr>
        <w:t xml:space="preserve"> and </w:t>
      </w:r>
      <w:r w:rsidR="004B1962" w:rsidRPr="00BC022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4B1962">
        <w:rPr>
          <w:rFonts w:ascii="Times New Roman" w:hAnsi="Times New Roman" w:cs="Times New Roman"/>
          <w:sz w:val="24"/>
          <w:szCs w:val="24"/>
        </w:rPr>
        <w:t>Pathology</w:t>
      </w:r>
      <w:r w:rsidRPr="00733DAA">
        <w:rPr>
          <w:rFonts w:ascii="Times New Roman" w:hAnsi="Times New Roman" w:cs="Times New Roman"/>
          <w:sz w:val="24"/>
          <w:szCs w:val="24"/>
        </w:rPr>
        <w:t>, Johns Hopk</w:t>
      </w:r>
      <w:r w:rsidR="00F302CD">
        <w:rPr>
          <w:rFonts w:ascii="Times New Roman" w:hAnsi="Times New Roman" w:cs="Times New Roman"/>
          <w:sz w:val="24"/>
          <w:szCs w:val="24"/>
        </w:rPr>
        <w:t>ins University</w:t>
      </w:r>
      <w:r w:rsidR="004B1962">
        <w:rPr>
          <w:rFonts w:ascii="Times New Roman" w:hAnsi="Times New Roman" w:cs="Times New Roman"/>
          <w:sz w:val="24"/>
          <w:szCs w:val="24"/>
        </w:rPr>
        <w:t xml:space="preserve"> School of Medicine</w:t>
      </w:r>
      <w:r w:rsidR="00F302CD">
        <w:rPr>
          <w:rFonts w:ascii="Times New Roman" w:hAnsi="Times New Roman" w:cs="Times New Roman"/>
          <w:sz w:val="24"/>
          <w:szCs w:val="24"/>
        </w:rPr>
        <w:t xml:space="preserve">, Baltimore, </w:t>
      </w:r>
      <w:r w:rsidR="00415F98">
        <w:rPr>
          <w:rFonts w:ascii="Times New Roman" w:hAnsi="Times New Roman" w:cs="Times New Roman"/>
          <w:sz w:val="24"/>
          <w:szCs w:val="24"/>
        </w:rPr>
        <w:t>MD</w:t>
      </w:r>
      <w:r w:rsidR="00BA739C">
        <w:rPr>
          <w:rFonts w:ascii="Times New Roman" w:hAnsi="Times New Roman" w:cs="Times New Roman"/>
          <w:sz w:val="24"/>
          <w:szCs w:val="24"/>
        </w:rPr>
        <w:t xml:space="preserve">; </w:t>
      </w:r>
      <w:r w:rsidR="004B1962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4B1962"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 xml:space="preserve">Center </w:t>
      </w:r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 xml:space="preserve">for </w:t>
      </w:r>
      <w:proofErr w:type="spellStart"/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>Nanomedicine</w:t>
      </w:r>
      <w:proofErr w:type="spellEnd"/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 xml:space="preserve">, </w:t>
      </w:r>
      <w:proofErr w:type="spellStart"/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>Dept</w:t>
      </w:r>
      <w:proofErr w:type="spellEnd"/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 xml:space="preserve"> of </w:t>
      </w:r>
      <w:r w:rsidR="00BB0B7B" w:rsidRPr="009F5864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vertAlign w:val="superscript"/>
          <w:lang w:eastAsia="en-US"/>
        </w:rPr>
        <w:t>6</w:t>
      </w:r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>Ophthalmology</w:t>
      </w:r>
      <w:r w:rsidR="00BC022E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>,</w:t>
      </w:r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 xml:space="preserve"> </w:t>
      </w:r>
      <w:r w:rsidR="00BB0B7B" w:rsidRPr="009F5864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vertAlign w:val="superscript"/>
          <w:lang w:eastAsia="en-US"/>
        </w:rPr>
        <w:t>7</w:t>
      </w:r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 xml:space="preserve">Chemical &amp; </w:t>
      </w:r>
      <w:proofErr w:type="spellStart"/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>Biomolecular</w:t>
      </w:r>
      <w:proofErr w:type="spellEnd"/>
      <w:r w:rsidRPr="00733DAA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 xml:space="preserve"> Engineering, </w:t>
      </w:r>
      <w:r w:rsidR="00BB0B7B" w:rsidRPr="009F5864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vertAlign w:val="superscript"/>
          <w:lang w:eastAsia="en-US"/>
        </w:rPr>
        <w:t>8</w:t>
      </w:r>
      <w:r w:rsidR="00BC022E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 xml:space="preserve">Pharmacology and Molecular Sciences, </w:t>
      </w:r>
      <w:r w:rsidR="00BB0B7B" w:rsidRPr="009F5864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vertAlign w:val="superscript"/>
          <w:lang w:eastAsia="en-US"/>
        </w:rPr>
        <w:t>9</w:t>
      </w:r>
      <w:r w:rsidR="00BB0B7B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en-US"/>
        </w:rPr>
        <w:t xml:space="preserve">Biomedical Engineering, </w:t>
      </w:r>
      <w:r w:rsidRPr="00733DAA">
        <w:rPr>
          <w:rFonts w:ascii="Times New Roman" w:hAnsi="Times New Roman" w:cs="Times New Roman"/>
          <w:sz w:val="24"/>
          <w:szCs w:val="24"/>
        </w:rPr>
        <w:t>Johns Hopkins</w:t>
      </w:r>
      <w:r w:rsidR="00F302CD">
        <w:rPr>
          <w:rFonts w:ascii="Times New Roman" w:hAnsi="Times New Roman" w:cs="Times New Roman"/>
          <w:sz w:val="24"/>
          <w:szCs w:val="24"/>
        </w:rPr>
        <w:t xml:space="preserve"> University, Baltimore, MA</w:t>
      </w:r>
      <w:r w:rsidR="00BA739C">
        <w:rPr>
          <w:rFonts w:ascii="Times New Roman" w:hAnsi="Times New Roman" w:cs="Times New Roman"/>
          <w:sz w:val="24"/>
          <w:szCs w:val="24"/>
        </w:rPr>
        <w:t xml:space="preserve">; </w:t>
      </w:r>
      <w:r w:rsidR="00BB0B7B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4B1962">
        <w:rPr>
          <w:rFonts w:ascii="Times New Roman" w:hAnsi="Times New Roman" w:cs="Times New Roman"/>
          <w:sz w:val="24"/>
          <w:szCs w:val="24"/>
        </w:rPr>
        <w:t xml:space="preserve">Magee’s </w:t>
      </w:r>
      <w:r w:rsidR="00F302CD">
        <w:rPr>
          <w:rFonts w:ascii="Times New Roman" w:hAnsi="Times New Roman" w:cs="Times New Roman"/>
          <w:sz w:val="24"/>
          <w:szCs w:val="24"/>
        </w:rPr>
        <w:t>Hospital, University of Pittsburgh, Pittsburgh, PA</w:t>
      </w:r>
    </w:p>
    <w:p w14:paraId="11A542A0" w14:textId="77777777" w:rsidR="00BA739C" w:rsidRDefault="00BA739C" w:rsidP="00DE1404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476F9910" w14:textId="6E69A2C6" w:rsidR="005F7954" w:rsidRPr="005901AB" w:rsidRDefault="005F7954" w:rsidP="00DE14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8071C">
        <w:rPr>
          <w:rFonts w:ascii="Times New Roman" w:hAnsi="Times New Roman" w:cs="Times New Roman"/>
          <w:b/>
          <w:sz w:val="24"/>
          <w:szCs w:val="24"/>
        </w:rPr>
        <w:t xml:space="preserve">Abstract </w:t>
      </w:r>
      <w:bookmarkStart w:id="0" w:name="_GoBack"/>
      <w:bookmarkEnd w:id="0"/>
    </w:p>
    <w:p w14:paraId="0E38CC23" w14:textId="77777777" w:rsidR="006C01EC" w:rsidRDefault="006C01EC" w:rsidP="006C01E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tenofovir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disoproxil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fumarate/</w:t>
      </w:r>
      <w:proofErr w:type="spellStart"/>
      <w:r>
        <w:rPr>
          <w:rFonts w:ascii="Times New Roman" w:hAnsi="Times New Roman" w:cs="Times New Roman"/>
          <w:sz w:val="24"/>
          <w:szCs w:val="24"/>
        </w:rPr>
        <w:t>emtricitabine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has been approved for pre-exposure prophylaxis of HIV-1 transmission, but is associated with high costs and issues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adherence.P</w:t>
      </w:r>
      <w:r w:rsidRPr="00733DAA">
        <w:rPr>
          <w:rFonts w:ascii="Times New Roman" w:hAnsi="Times New Roman" w:cs="Times New Roman"/>
          <w:sz w:val="24"/>
          <w:szCs w:val="24"/>
        </w:rPr>
        <w:t>rotection</w:t>
      </w:r>
      <w:proofErr w:type="spellEnd"/>
      <w:proofErr w:type="gramEnd"/>
      <w:r w:rsidRPr="00733DAA">
        <w:rPr>
          <w:rFonts w:ascii="Times New Roman" w:hAnsi="Times New Roman" w:cs="Times New Roman"/>
          <w:sz w:val="24"/>
          <w:szCs w:val="24"/>
        </w:rPr>
        <w:t xml:space="preserve"> from receptive anal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transmission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 xml:space="preserve">of HIV using topical microbicides </w:t>
      </w:r>
      <w:r>
        <w:rPr>
          <w:rFonts w:ascii="Times New Roman" w:hAnsi="Times New Roman" w:cs="Times New Roman"/>
          <w:sz w:val="24"/>
          <w:szCs w:val="24"/>
        </w:rPr>
        <w:t>using methods more congruent with sexual behavior</w:t>
      </w:r>
      <w:r w:rsidRPr="009F58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offers the promise of improved adherence. However, there are limited data evaluating the pharmacokinetic (PK)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pharmacodynamic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effects of topical prevention</w:t>
      </w:r>
      <w:r w:rsidRPr="00733DA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733DAA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compared</w:t>
      </w:r>
      <w:r w:rsidRPr="00733DAA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PK </w:t>
      </w:r>
      <w:r w:rsidRPr="00733DAA">
        <w:rPr>
          <w:rFonts w:ascii="Times New Roman" w:hAnsi="Times New Roman" w:cs="Times New Roman"/>
          <w:sz w:val="24"/>
          <w:szCs w:val="24"/>
        </w:rPr>
        <w:t xml:space="preserve">and </w:t>
      </w:r>
      <w:r w:rsidRPr="007455CE">
        <w:rPr>
          <w:rFonts w:ascii="Times New Roman" w:hAnsi="Times New Roman" w:cs="Times New Roman"/>
          <w:i/>
          <w:sz w:val="24"/>
          <w:szCs w:val="24"/>
        </w:rPr>
        <w:t>ex vivo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 xml:space="preserve">efficacy of </w:t>
      </w:r>
      <w:proofErr w:type="spellStart"/>
      <w:r w:rsidRPr="00733DAA">
        <w:rPr>
          <w:rFonts w:ascii="Times New Roman" w:hAnsi="Times New Roman" w:cs="Times New Roman"/>
          <w:sz w:val="24"/>
          <w:szCs w:val="24"/>
        </w:rPr>
        <w:t>iso-osmolar</w:t>
      </w:r>
      <w:proofErr w:type="spellEnd"/>
      <w:r w:rsidRPr="00733D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IOsm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733DAA">
        <w:rPr>
          <w:rFonts w:ascii="Times New Roman" w:hAnsi="Times New Roman" w:cs="Times New Roman"/>
          <w:sz w:val="24"/>
          <w:szCs w:val="24"/>
        </w:rPr>
        <w:t>and hypo-</w:t>
      </w:r>
      <w:proofErr w:type="spellStart"/>
      <w:r w:rsidRPr="00733DAA">
        <w:rPr>
          <w:rFonts w:ascii="Times New Roman" w:hAnsi="Times New Roman" w:cs="Times New Roman"/>
          <w:sz w:val="24"/>
          <w:szCs w:val="24"/>
        </w:rPr>
        <w:t>osmolar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HOsm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rectal enema </w:t>
      </w:r>
      <w:r w:rsidRPr="00733DAA">
        <w:rPr>
          <w:rFonts w:ascii="Times New Roman" w:hAnsi="Times New Roman" w:cs="Times New Roman"/>
          <w:sz w:val="24"/>
          <w:szCs w:val="24"/>
        </w:rPr>
        <w:t xml:space="preserve">formulations of </w:t>
      </w:r>
      <w:proofErr w:type="spellStart"/>
      <w:r w:rsidRPr="00733DAA">
        <w:rPr>
          <w:rFonts w:ascii="Times New Roman" w:hAnsi="Times New Roman" w:cs="Times New Roman"/>
          <w:sz w:val="24"/>
          <w:szCs w:val="24"/>
        </w:rPr>
        <w:t>tenofovir</w:t>
      </w:r>
      <w:proofErr w:type="spellEnd"/>
      <w:r w:rsidRPr="00733DAA">
        <w:rPr>
          <w:rFonts w:ascii="Times New Roman" w:hAnsi="Times New Roman" w:cs="Times New Roman"/>
          <w:sz w:val="24"/>
          <w:szCs w:val="24"/>
        </w:rPr>
        <w:t xml:space="preserve"> (TFV) in a macaque model. Single-dose </w:t>
      </w:r>
      <w:r>
        <w:rPr>
          <w:rFonts w:ascii="Times New Roman" w:hAnsi="Times New Roman" w:cs="Times New Roman"/>
          <w:sz w:val="24"/>
          <w:szCs w:val="24"/>
        </w:rPr>
        <w:t>PK</w:t>
      </w:r>
      <w:r w:rsidRPr="00733DAA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IOsm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>
        <w:rPr>
          <w:rFonts w:ascii="Times New Roman" w:hAnsi="Times New Roman" w:cs="Times New Roman"/>
          <w:sz w:val="24"/>
          <w:szCs w:val="24"/>
        </w:rPr>
        <w:t>HOsm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high (5.28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mg/m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733DAA">
        <w:rPr>
          <w:rFonts w:ascii="Times New Roman" w:hAnsi="Times New Roman" w:cs="Times New Roman"/>
          <w:sz w:val="24"/>
          <w:szCs w:val="24"/>
        </w:rPr>
        <w:t>) and low (1.76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mg/m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733DAA">
        <w:rPr>
          <w:rFonts w:ascii="Times New Roman" w:hAnsi="Times New Roman" w:cs="Times New Roman"/>
          <w:sz w:val="24"/>
          <w:szCs w:val="24"/>
        </w:rPr>
        <w:t>) dose formulations of TFV enemas were evaluated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for systemic uptake in blood, colorectal biops</w:t>
      </w:r>
      <w:r>
        <w:rPr>
          <w:rFonts w:ascii="Times New Roman" w:hAnsi="Times New Roman" w:cs="Times New Roman"/>
          <w:sz w:val="24"/>
          <w:szCs w:val="24"/>
        </w:rPr>
        <w:t xml:space="preserve">ies </w:t>
      </w:r>
      <w:r w:rsidRPr="00733DAA">
        <w:rPr>
          <w:rFonts w:ascii="Times New Roman" w:hAnsi="Times New Roman" w:cs="Times New Roman"/>
          <w:sz w:val="24"/>
          <w:szCs w:val="24"/>
        </w:rPr>
        <w:t>and rectal CD4</w:t>
      </w:r>
      <w:r>
        <w:rPr>
          <w:rFonts w:ascii="Times New Roman" w:hAnsi="Times New Roman" w:cs="Times New Roman"/>
          <w:sz w:val="24"/>
          <w:szCs w:val="24"/>
        </w:rPr>
        <w:t>+ T</w:t>
      </w:r>
      <w:r w:rsidRPr="00733DAA">
        <w:rPr>
          <w:rFonts w:ascii="Times New Roman" w:hAnsi="Times New Roman" w:cs="Times New Roman"/>
          <w:sz w:val="24"/>
          <w:szCs w:val="24"/>
        </w:rPr>
        <w:t xml:space="preserve"> cells. Markedly higher TFV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concentrations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>observed</w:t>
      </w:r>
      <w:r w:rsidRPr="00733D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plasma as well as in tissues after </w:t>
      </w:r>
      <w:r w:rsidRPr="00733DAA">
        <w:rPr>
          <w:rFonts w:ascii="Times New Roman" w:hAnsi="Times New Roman" w:cs="Times New Roman"/>
          <w:sz w:val="24"/>
          <w:szCs w:val="24"/>
        </w:rPr>
        <w:t xml:space="preserve">administration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HOsm</w:t>
      </w:r>
      <w:proofErr w:type="spellEnd"/>
      <w:r w:rsidRPr="00733DAA">
        <w:rPr>
          <w:rFonts w:ascii="Times New Roman" w:hAnsi="Times New Roman" w:cs="Times New Roman"/>
          <w:sz w:val="24"/>
          <w:szCs w:val="24"/>
        </w:rPr>
        <w:t xml:space="preserve"> high dose formulation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than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all other formulations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tested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33DAA">
        <w:rPr>
          <w:rFonts w:ascii="Times New Roman" w:hAnsi="Times New Roman" w:cs="Times New Roman"/>
          <w:sz w:val="24"/>
          <w:szCs w:val="24"/>
        </w:rPr>
        <w:t xml:space="preserve">TFV and TFV diphosphate </w:t>
      </w: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733DAA">
        <w:rPr>
          <w:rFonts w:ascii="Times New Roman" w:hAnsi="Times New Roman" w:cs="Times New Roman"/>
          <w:sz w:val="24"/>
          <w:szCs w:val="24"/>
        </w:rPr>
        <w:t>TFV-DP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733DAA">
        <w:rPr>
          <w:rFonts w:ascii="Times New Roman" w:hAnsi="Times New Roman" w:cs="Times New Roman"/>
          <w:sz w:val="24"/>
          <w:szCs w:val="24"/>
        </w:rPr>
        <w:t xml:space="preserve">concentrations in tissue were highly correlated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733DAA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HOsm</w:t>
      </w:r>
      <w:proofErr w:type="spellEnd"/>
      <w:r w:rsidRPr="00733DAA">
        <w:rPr>
          <w:rFonts w:ascii="Times New Roman" w:hAnsi="Times New Roman" w:cs="Times New Roman"/>
          <w:sz w:val="24"/>
          <w:szCs w:val="24"/>
        </w:rPr>
        <w:t xml:space="preserve"> high dose formulation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 h: </w:t>
      </w:r>
      <w:r w:rsidRPr="00733DAA">
        <w:rPr>
          <w:rFonts w:ascii="Times New Roman" w:hAnsi="Times New Roman" w:cs="Times New Roman"/>
          <w:sz w:val="24"/>
          <w:szCs w:val="24"/>
        </w:rPr>
        <w:t>r=0.8986, p=0.0333; 24 h: r=0.9411, p=0.0167), demonstrating rapid uptake and transformation of TFV to TFV-D</w:t>
      </w:r>
      <w:r>
        <w:rPr>
          <w:rFonts w:ascii="Times New Roman" w:hAnsi="Times New Roman" w:cs="Times New Roman"/>
          <w:sz w:val="24"/>
          <w:szCs w:val="24"/>
        </w:rPr>
        <w:t xml:space="preserve">P in tissues. </w:t>
      </w:r>
      <w:r w:rsidRPr="00733DAA">
        <w:rPr>
          <w:rFonts w:ascii="Times New Roman" w:hAnsi="Times New Roman" w:cs="Times New Roman"/>
          <w:sz w:val="24"/>
          <w:szCs w:val="24"/>
        </w:rPr>
        <w:t xml:space="preserve">TFV-DP concentrations in colorectal tissues collected at 1 (4783.77±1390.85 </w:t>
      </w:r>
      <w:proofErr w:type="spellStart"/>
      <w:r w:rsidRPr="00733DAA">
        <w:rPr>
          <w:rFonts w:ascii="Times New Roman" w:hAnsi="Times New Roman" w:cs="Times New Roman"/>
          <w:sz w:val="24"/>
          <w:szCs w:val="24"/>
        </w:rPr>
        <w:t>fmol</w:t>
      </w:r>
      <w:proofErr w:type="spellEnd"/>
      <w:r w:rsidRPr="00733DAA">
        <w:rPr>
          <w:rFonts w:ascii="Times New Roman" w:hAnsi="Times New Roman" w:cs="Times New Roman"/>
          <w:sz w:val="24"/>
          <w:szCs w:val="24"/>
        </w:rPr>
        <w:t>/mg) and 24 hours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 xml:space="preserve">(2407.26±762.89 </w:t>
      </w:r>
      <w:proofErr w:type="spellStart"/>
      <w:r w:rsidRPr="00733DAA">
        <w:rPr>
          <w:rFonts w:ascii="Times New Roman" w:hAnsi="Times New Roman" w:cs="Times New Roman"/>
          <w:sz w:val="24"/>
          <w:szCs w:val="24"/>
        </w:rPr>
        <w:t>fmol</w:t>
      </w:r>
      <w:proofErr w:type="spellEnd"/>
      <w:r w:rsidRPr="00733DAA">
        <w:rPr>
          <w:rFonts w:ascii="Times New Roman" w:hAnsi="Times New Roman" w:cs="Times New Roman"/>
          <w:sz w:val="24"/>
          <w:szCs w:val="24"/>
        </w:rPr>
        <w:t xml:space="preserve">/mg) </w:t>
      </w:r>
      <w:r>
        <w:rPr>
          <w:rFonts w:ascii="Times New Roman" w:hAnsi="Times New Roman" w:cs="Times New Roman"/>
          <w:sz w:val="24"/>
          <w:szCs w:val="24"/>
        </w:rPr>
        <w:t xml:space="preserve">were 7 and 5 fold higher, respectively </w:t>
      </w:r>
      <w:r w:rsidRPr="00733DAA">
        <w:rPr>
          <w:rFonts w:ascii="Times New Roman" w:hAnsi="Times New Roman" w:cs="Times New Roman"/>
          <w:sz w:val="24"/>
          <w:szCs w:val="24"/>
        </w:rPr>
        <w:t>(</w:t>
      </w:r>
      <w:r w:rsidRPr="00733DAA">
        <w:rPr>
          <w:rFonts w:ascii="Times New Roman" w:hAnsi="Times New Roman" w:cs="Times New Roman"/>
          <w:i/>
          <w:sz w:val="24"/>
          <w:szCs w:val="24"/>
        </w:rPr>
        <w:t>p</w:t>
      </w:r>
      <w:r w:rsidRPr="00733DAA">
        <w:rPr>
          <w:rFonts w:ascii="Times New Roman" w:hAnsi="Times New Roman" w:cs="Times New Roman"/>
          <w:sz w:val="24"/>
          <w:szCs w:val="24"/>
        </w:rPr>
        <w:t>&lt;0.0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3DA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 xml:space="preserve">compared to the same </w:t>
      </w:r>
      <w:r>
        <w:rPr>
          <w:rFonts w:ascii="Times New Roman" w:hAnsi="Times New Roman" w:cs="Times New Roman"/>
          <w:sz w:val="24"/>
          <w:szCs w:val="24"/>
        </w:rPr>
        <w:t xml:space="preserve">high </w:t>
      </w:r>
      <w:r w:rsidRPr="00733DAA">
        <w:rPr>
          <w:rFonts w:ascii="Times New Roman" w:hAnsi="Times New Roman" w:cs="Times New Roman"/>
          <w:sz w:val="24"/>
          <w:szCs w:val="24"/>
        </w:rPr>
        <w:t xml:space="preserve">dose formulated as </w:t>
      </w:r>
      <w:proofErr w:type="spellStart"/>
      <w:r>
        <w:rPr>
          <w:rFonts w:ascii="Times New Roman" w:hAnsi="Times New Roman" w:cs="Times New Roman"/>
          <w:sz w:val="24"/>
          <w:szCs w:val="24"/>
        </w:rPr>
        <w:t>IOsm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3DAA">
        <w:rPr>
          <w:rFonts w:ascii="Times New Roman" w:hAnsi="Times New Roman" w:cs="Times New Roman"/>
          <w:sz w:val="24"/>
          <w:szCs w:val="24"/>
        </w:rPr>
        <w:t>enema.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 xml:space="preserve">high dose </w:t>
      </w:r>
      <w:r>
        <w:rPr>
          <w:rFonts w:ascii="Times New Roman" w:hAnsi="Times New Roman" w:cs="Times New Roman"/>
          <w:sz w:val="24"/>
          <w:szCs w:val="24"/>
        </w:rPr>
        <w:t xml:space="preserve">(5.28 mg/mL) </w:t>
      </w:r>
      <w:r w:rsidRPr="00733DAA">
        <w:rPr>
          <w:rFonts w:ascii="Times New Roman" w:hAnsi="Times New Roman" w:cs="Times New Roman"/>
          <w:sz w:val="24"/>
          <w:szCs w:val="24"/>
        </w:rPr>
        <w:t>formulation was</w:t>
      </w:r>
      <w:r>
        <w:rPr>
          <w:rFonts w:ascii="Times New Roman" w:hAnsi="Times New Roman" w:cs="Times New Roman"/>
          <w:sz w:val="24"/>
          <w:szCs w:val="24"/>
        </w:rPr>
        <w:t xml:space="preserve"> safe and </w:t>
      </w:r>
      <w:r w:rsidRPr="00733DAA">
        <w:rPr>
          <w:rFonts w:ascii="Times New Roman" w:hAnsi="Times New Roman" w:cs="Times New Roman"/>
          <w:sz w:val="24"/>
          <w:szCs w:val="24"/>
        </w:rPr>
        <w:t>highly effective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 xml:space="preserve">preventing SHIV162p3 and SIVmac251 infection in </w:t>
      </w:r>
      <w:r w:rsidRPr="00733DAA">
        <w:rPr>
          <w:rFonts w:ascii="Times New Roman" w:hAnsi="Times New Roman" w:cs="Times New Roman"/>
          <w:i/>
          <w:sz w:val="24"/>
          <w:szCs w:val="24"/>
        </w:rPr>
        <w:t>ex vivo</w:t>
      </w:r>
      <w:r w:rsidRPr="00733DAA">
        <w:rPr>
          <w:rFonts w:ascii="Times New Roman" w:hAnsi="Times New Roman" w:cs="Times New Roman"/>
          <w:sz w:val="24"/>
          <w:szCs w:val="24"/>
        </w:rPr>
        <w:t xml:space="preserve"> challenge</w:t>
      </w:r>
      <w:r>
        <w:rPr>
          <w:rFonts w:ascii="Times New Roman" w:hAnsi="Times New Roman" w:cs="Times New Roman"/>
          <w:sz w:val="24"/>
          <w:szCs w:val="24"/>
        </w:rPr>
        <w:t>s of rectal tissues collected</w:t>
      </w:r>
      <w:r w:rsidRPr="00733DAA">
        <w:rPr>
          <w:rFonts w:ascii="Times New Roman" w:hAnsi="Times New Roman" w:cs="Times New Roman"/>
          <w:sz w:val="24"/>
          <w:szCs w:val="24"/>
        </w:rPr>
        <w:t xml:space="preserve"> at 1, 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 xml:space="preserve">and 72 hours after the </w:t>
      </w:r>
      <w:proofErr w:type="spellStart"/>
      <w:r w:rsidRPr="00733DAA">
        <w:rPr>
          <w:rFonts w:ascii="Times New Roman" w:hAnsi="Times New Roman" w:cs="Times New Roman"/>
          <w:sz w:val="24"/>
          <w:szCs w:val="24"/>
        </w:rPr>
        <w:t>intrarectal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DAA">
        <w:rPr>
          <w:rFonts w:ascii="Times New Roman" w:hAnsi="Times New Roman" w:cs="Times New Roman"/>
          <w:sz w:val="24"/>
          <w:szCs w:val="24"/>
        </w:rPr>
        <w:t>dosing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3DAA">
        <w:rPr>
          <w:rFonts w:ascii="Times New Roman" w:hAnsi="Times New Roman" w:cs="Times New Roman"/>
          <w:sz w:val="24"/>
          <w:szCs w:val="24"/>
        </w:rPr>
        <w:t xml:space="preserve"> whereas the same TFV dose formulated as </w:t>
      </w:r>
      <w:proofErr w:type="spellStart"/>
      <w:r>
        <w:rPr>
          <w:rFonts w:ascii="Times New Roman" w:hAnsi="Times New Roman" w:cs="Times New Roman"/>
          <w:sz w:val="24"/>
          <w:szCs w:val="24"/>
        </w:rPr>
        <w:t>IOsm</w:t>
      </w:r>
      <w:proofErr w:type="spellEnd"/>
      <w:r w:rsidRPr="00733DAA">
        <w:rPr>
          <w:rFonts w:ascii="Times New Roman" w:hAnsi="Times New Roman" w:cs="Times New Roman"/>
          <w:sz w:val="24"/>
          <w:szCs w:val="24"/>
        </w:rPr>
        <w:t xml:space="preserve"> enema was less effective. </w:t>
      </w:r>
      <w:r>
        <w:rPr>
          <w:rFonts w:ascii="Times New Roman" w:hAnsi="Times New Roman" w:cs="Times New Roman"/>
          <w:sz w:val="24"/>
          <w:szCs w:val="24"/>
        </w:rPr>
        <w:t xml:space="preserve">Thus, rectally applied </w:t>
      </w:r>
      <w:proofErr w:type="spellStart"/>
      <w:r>
        <w:rPr>
          <w:rFonts w:ascii="Times New Roman" w:hAnsi="Times New Roman" w:cs="Times New Roman"/>
          <w:sz w:val="24"/>
          <w:szCs w:val="24"/>
        </w:rPr>
        <w:t>HOsm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high dose formulation of TFV enema promotes far more rapid</w:t>
      </w:r>
      <w:r w:rsidRPr="005E6677">
        <w:rPr>
          <w:rFonts w:ascii="Times New Roman" w:hAnsi="Times New Roman" w:cs="Times New Roman"/>
          <w:sz w:val="24"/>
          <w:szCs w:val="24"/>
        </w:rPr>
        <w:t xml:space="preserve"> TFV uptake</w:t>
      </w:r>
      <w:r>
        <w:rPr>
          <w:rFonts w:ascii="Times New Roman" w:hAnsi="Times New Roman" w:cs="Times New Roman"/>
          <w:sz w:val="24"/>
          <w:szCs w:val="24"/>
        </w:rPr>
        <w:t xml:space="preserve"> and TFV-DP transformation to</w:t>
      </w:r>
      <w:r w:rsidRPr="005E6677">
        <w:rPr>
          <w:rFonts w:ascii="Times New Roman" w:hAnsi="Times New Roman" w:cs="Times New Roman"/>
          <w:sz w:val="24"/>
          <w:szCs w:val="24"/>
        </w:rPr>
        <w:t xml:space="preserve"> achieve colon tissue </w:t>
      </w:r>
      <w:r>
        <w:rPr>
          <w:rFonts w:ascii="Times New Roman" w:hAnsi="Times New Roman" w:cs="Times New Roman"/>
          <w:sz w:val="24"/>
          <w:szCs w:val="24"/>
        </w:rPr>
        <w:t xml:space="preserve">protective </w:t>
      </w:r>
      <w:r w:rsidRPr="005E6677">
        <w:rPr>
          <w:rFonts w:ascii="Times New Roman" w:hAnsi="Times New Roman" w:cs="Times New Roman"/>
          <w:sz w:val="24"/>
          <w:szCs w:val="24"/>
        </w:rPr>
        <w:t>target drug concentrations</w:t>
      </w:r>
      <w:r>
        <w:rPr>
          <w:rFonts w:ascii="Times New Roman" w:hAnsi="Times New Roman" w:cs="Times New Roman"/>
          <w:sz w:val="24"/>
          <w:szCs w:val="24"/>
        </w:rPr>
        <w:t xml:space="preserve"> compared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IOsm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formulation of the same TFV dose. </w:t>
      </w:r>
    </w:p>
    <w:p w14:paraId="3D77EA3A" w14:textId="6D6561E4" w:rsidR="001173DC" w:rsidRDefault="001173DC" w:rsidP="006C01E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173DC" w:rsidSect="0047570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98D76" w14:textId="77777777" w:rsidR="00C65AC3" w:rsidRDefault="00C65AC3" w:rsidP="008C26A8">
      <w:pPr>
        <w:spacing w:after="0" w:line="240" w:lineRule="auto"/>
      </w:pPr>
      <w:r>
        <w:separator/>
      </w:r>
    </w:p>
  </w:endnote>
  <w:endnote w:type="continuationSeparator" w:id="0">
    <w:p w14:paraId="21DB3904" w14:textId="77777777" w:rsidR="00C65AC3" w:rsidRDefault="00C65AC3" w:rsidP="008C26A8">
      <w:pPr>
        <w:spacing w:after="0" w:line="240" w:lineRule="auto"/>
      </w:pPr>
      <w:r>
        <w:continuationSeparator/>
      </w:r>
    </w:p>
  </w:endnote>
  <w:endnote w:type="continuationNotice" w:id="1">
    <w:p w14:paraId="6116CFE0" w14:textId="77777777" w:rsidR="00C65AC3" w:rsidRDefault="00C65A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6796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79C8CF" w14:textId="31748D0C" w:rsidR="00E14515" w:rsidRDefault="00E145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01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46B3D5" w14:textId="77777777" w:rsidR="00E14515" w:rsidRDefault="00E14515" w:rsidP="00970D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E764E" w14:textId="77777777" w:rsidR="00C65AC3" w:rsidRDefault="00C65AC3" w:rsidP="008C26A8">
      <w:pPr>
        <w:spacing w:after="0" w:line="240" w:lineRule="auto"/>
      </w:pPr>
      <w:r>
        <w:separator/>
      </w:r>
    </w:p>
  </w:footnote>
  <w:footnote w:type="continuationSeparator" w:id="0">
    <w:p w14:paraId="7DB49626" w14:textId="77777777" w:rsidR="00C65AC3" w:rsidRDefault="00C65AC3" w:rsidP="008C26A8">
      <w:pPr>
        <w:spacing w:after="0" w:line="240" w:lineRule="auto"/>
      </w:pPr>
      <w:r>
        <w:continuationSeparator/>
      </w:r>
    </w:p>
  </w:footnote>
  <w:footnote w:type="continuationNotice" w:id="1">
    <w:p w14:paraId="26E56D3C" w14:textId="77777777" w:rsidR="00C65AC3" w:rsidRDefault="00C65A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E77D3" w14:textId="77777777" w:rsidR="00E14515" w:rsidRDefault="00E14515" w:rsidP="00970D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B7581"/>
    <w:multiLevelType w:val="hybridMultilevel"/>
    <w:tmpl w:val="1702E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001A8"/>
    <w:multiLevelType w:val="hybridMultilevel"/>
    <w:tmpl w:val="C68C7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Mucosal Immunology&lt;/Style&gt;&lt;LeftDelim&gt;{&lt;/LeftDelim&gt;&lt;RightDelim&gt;}&lt;/RightDelim&gt;&lt;FontName&gt;Times New Roman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adasadx9dfr22e9sr9ptpdvp0ee9dsv90ez&quot;&gt;TFV paper&lt;record-ids&gt;&lt;item&gt;2&lt;/item&gt;&lt;item&gt;3&lt;/item&gt;&lt;item&gt;4&lt;/item&gt;&lt;item&gt;5&lt;/item&gt;&lt;item&gt;7&lt;/item&gt;&lt;item&gt;8&lt;/item&gt;&lt;item&gt;9&lt;/item&gt;&lt;item&gt;10&lt;/item&gt;&lt;item&gt;12&lt;/item&gt;&lt;item&gt;13&lt;/item&gt;&lt;item&gt;14&lt;/item&gt;&lt;item&gt;15&lt;/item&gt;&lt;item&gt;17&lt;/item&gt;&lt;item&gt;18&lt;/item&gt;&lt;item&gt;20&lt;/item&gt;&lt;item&gt;23&lt;/item&gt;&lt;item&gt;24&lt;/item&gt;&lt;item&gt;38&lt;/item&gt;&lt;item&gt;49&lt;/item&gt;&lt;item&gt;51&lt;/item&gt;&lt;item&gt;52&lt;/item&gt;&lt;item&gt;53&lt;/item&gt;&lt;item&gt;55&lt;/item&gt;&lt;item&gt;56&lt;/item&gt;&lt;item&gt;57&lt;/item&gt;&lt;item&gt;58&lt;/item&gt;&lt;item&gt;59&lt;/item&gt;&lt;item&gt;65&lt;/item&gt;&lt;item&gt;69&lt;/item&gt;&lt;item&gt;70&lt;/item&gt;&lt;item&gt;71&lt;/item&gt;&lt;item&gt;72&lt;/item&gt;&lt;item&gt;73&lt;/item&gt;&lt;item&gt;78&lt;/item&gt;&lt;item&gt;79&lt;/item&gt;&lt;item&gt;80&lt;/item&gt;&lt;item&gt;81&lt;/item&gt;&lt;item&gt;82&lt;/item&gt;&lt;item&gt;83&lt;/item&gt;&lt;item&gt;85&lt;/item&gt;&lt;item&gt;86&lt;/item&gt;&lt;item&gt;88&lt;/item&gt;&lt;item&gt;89&lt;/item&gt;&lt;item&gt;90&lt;/item&gt;&lt;item&gt;93&lt;/item&gt;&lt;item&gt;96&lt;/item&gt;&lt;/record-ids&gt;&lt;/item&gt;&lt;/Libraries&gt;"/>
  </w:docVars>
  <w:rsids>
    <w:rsidRoot w:val="00576EFE"/>
    <w:rsid w:val="00002573"/>
    <w:rsid w:val="000109E2"/>
    <w:rsid w:val="00010EBB"/>
    <w:rsid w:val="00021B27"/>
    <w:rsid w:val="0002521C"/>
    <w:rsid w:val="000255C2"/>
    <w:rsid w:val="000279EE"/>
    <w:rsid w:val="000307C3"/>
    <w:rsid w:val="0003141B"/>
    <w:rsid w:val="0003340D"/>
    <w:rsid w:val="00035951"/>
    <w:rsid w:val="00047B3F"/>
    <w:rsid w:val="00050B24"/>
    <w:rsid w:val="00053CFD"/>
    <w:rsid w:val="0006624B"/>
    <w:rsid w:val="00070549"/>
    <w:rsid w:val="000733C3"/>
    <w:rsid w:val="0007421B"/>
    <w:rsid w:val="00077D2E"/>
    <w:rsid w:val="00082885"/>
    <w:rsid w:val="00090D3D"/>
    <w:rsid w:val="000A06BB"/>
    <w:rsid w:val="000A1C1F"/>
    <w:rsid w:val="000A6A82"/>
    <w:rsid w:val="000D32CA"/>
    <w:rsid w:val="000D3985"/>
    <w:rsid w:val="000F6378"/>
    <w:rsid w:val="00101287"/>
    <w:rsid w:val="00107F86"/>
    <w:rsid w:val="00111C0B"/>
    <w:rsid w:val="00115C68"/>
    <w:rsid w:val="001173DC"/>
    <w:rsid w:val="001236EF"/>
    <w:rsid w:val="00130C59"/>
    <w:rsid w:val="00137987"/>
    <w:rsid w:val="0014223F"/>
    <w:rsid w:val="00150A93"/>
    <w:rsid w:val="00153C08"/>
    <w:rsid w:val="00161B18"/>
    <w:rsid w:val="00163B2D"/>
    <w:rsid w:val="00176174"/>
    <w:rsid w:val="00180780"/>
    <w:rsid w:val="001809E5"/>
    <w:rsid w:val="001811E8"/>
    <w:rsid w:val="001821B2"/>
    <w:rsid w:val="001914B6"/>
    <w:rsid w:val="00192FFA"/>
    <w:rsid w:val="001A1E75"/>
    <w:rsid w:val="001A1ECE"/>
    <w:rsid w:val="001A34C8"/>
    <w:rsid w:val="001B11F6"/>
    <w:rsid w:val="001B1F5B"/>
    <w:rsid w:val="001B7754"/>
    <w:rsid w:val="001B7B5F"/>
    <w:rsid w:val="001C103D"/>
    <w:rsid w:val="001C6E74"/>
    <w:rsid w:val="001D0D1E"/>
    <w:rsid w:val="001D6B65"/>
    <w:rsid w:val="001E572A"/>
    <w:rsid w:val="001E65A7"/>
    <w:rsid w:val="001F4F6F"/>
    <w:rsid w:val="002002AA"/>
    <w:rsid w:val="002025F1"/>
    <w:rsid w:val="00203A4F"/>
    <w:rsid w:val="002116D8"/>
    <w:rsid w:val="002313D5"/>
    <w:rsid w:val="00241483"/>
    <w:rsid w:val="00250D58"/>
    <w:rsid w:val="00262908"/>
    <w:rsid w:val="00264773"/>
    <w:rsid w:val="0027040B"/>
    <w:rsid w:val="002727CB"/>
    <w:rsid w:val="002842FD"/>
    <w:rsid w:val="00284BA1"/>
    <w:rsid w:val="002B4556"/>
    <w:rsid w:val="002B49DB"/>
    <w:rsid w:val="002C25A6"/>
    <w:rsid w:val="002C2966"/>
    <w:rsid w:val="002C5E2D"/>
    <w:rsid w:val="002D03FB"/>
    <w:rsid w:val="002D1F00"/>
    <w:rsid w:val="002D5C8E"/>
    <w:rsid w:val="002E46E3"/>
    <w:rsid w:val="002E4E36"/>
    <w:rsid w:val="00301C90"/>
    <w:rsid w:val="00303F40"/>
    <w:rsid w:val="00315122"/>
    <w:rsid w:val="00327323"/>
    <w:rsid w:val="003309C0"/>
    <w:rsid w:val="0033269B"/>
    <w:rsid w:val="0035114A"/>
    <w:rsid w:val="00353F74"/>
    <w:rsid w:val="00357D6A"/>
    <w:rsid w:val="00362DA0"/>
    <w:rsid w:val="0037379E"/>
    <w:rsid w:val="00384F4E"/>
    <w:rsid w:val="003906CC"/>
    <w:rsid w:val="00391AED"/>
    <w:rsid w:val="003965B9"/>
    <w:rsid w:val="003B7B78"/>
    <w:rsid w:val="003C0E22"/>
    <w:rsid w:val="003C63A8"/>
    <w:rsid w:val="003D003E"/>
    <w:rsid w:val="003D10F8"/>
    <w:rsid w:val="003D12D1"/>
    <w:rsid w:val="003E3665"/>
    <w:rsid w:val="003E73E1"/>
    <w:rsid w:val="003F15FF"/>
    <w:rsid w:val="003F47AC"/>
    <w:rsid w:val="003F6525"/>
    <w:rsid w:val="003F6A05"/>
    <w:rsid w:val="003F7D9B"/>
    <w:rsid w:val="00400A47"/>
    <w:rsid w:val="004049C1"/>
    <w:rsid w:val="00415F98"/>
    <w:rsid w:val="004273FC"/>
    <w:rsid w:val="00432628"/>
    <w:rsid w:val="00433DDA"/>
    <w:rsid w:val="0043502A"/>
    <w:rsid w:val="004410EE"/>
    <w:rsid w:val="00446BE3"/>
    <w:rsid w:val="00450885"/>
    <w:rsid w:val="00461C0C"/>
    <w:rsid w:val="00475706"/>
    <w:rsid w:val="00475E61"/>
    <w:rsid w:val="0047692E"/>
    <w:rsid w:val="00487E81"/>
    <w:rsid w:val="004A1631"/>
    <w:rsid w:val="004A37B5"/>
    <w:rsid w:val="004B12AD"/>
    <w:rsid w:val="004B1962"/>
    <w:rsid w:val="004B370C"/>
    <w:rsid w:val="004C210F"/>
    <w:rsid w:val="004C2FD4"/>
    <w:rsid w:val="004D3FFE"/>
    <w:rsid w:val="004E1BFA"/>
    <w:rsid w:val="004F05AF"/>
    <w:rsid w:val="004F3BE5"/>
    <w:rsid w:val="004F5B08"/>
    <w:rsid w:val="004F681B"/>
    <w:rsid w:val="005036B3"/>
    <w:rsid w:val="005043C9"/>
    <w:rsid w:val="005067E6"/>
    <w:rsid w:val="005068C8"/>
    <w:rsid w:val="00513471"/>
    <w:rsid w:val="00524CC3"/>
    <w:rsid w:val="00527E72"/>
    <w:rsid w:val="005327A4"/>
    <w:rsid w:val="00533A47"/>
    <w:rsid w:val="00537183"/>
    <w:rsid w:val="00543FFD"/>
    <w:rsid w:val="005530B7"/>
    <w:rsid w:val="00554349"/>
    <w:rsid w:val="005568EA"/>
    <w:rsid w:val="0057065D"/>
    <w:rsid w:val="00570DFE"/>
    <w:rsid w:val="00574486"/>
    <w:rsid w:val="00576EFE"/>
    <w:rsid w:val="00587D3A"/>
    <w:rsid w:val="005901AB"/>
    <w:rsid w:val="005A77BF"/>
    <w:rsid w:val="005B0309"/>
    <w:rsid w:val="005B1E24"/>
    <w:rsid w:val="005B568F"/>
    <w:rsid w:val="005B6E7F"/>
    <w:rsid w:val="005C30CD"/>
    <w:rsid w:val="005E4127"/>
    <w:rsid w:val="005E6677"/>
    <w:rsid w:val="005F3C5E"/>
    <w:rsid w:val="005F7954"/>
    <w:rsid w:val="006179BB"/>
    <w:rsid w:val="006347EC"/>
    <w:rsid w:val="006441F7"/>
    <w:rsid w:val="00651176"/>
    <w:rsid w:val="00655035"/>
    <w:rsid w:val="0067271E"/>
    <w:rsid w:val="00672A11"/>
    <w:rsid w:val="00677B50"/>
    <w:rsid w:val="0068122F"/>
    <w:rsid w:val="00686035"/>
    <w:rsid w:val="00686962"/>
    <w:rsid w:val="006906D5"/>
    <w:rsid w:val="00690A67"/>
    <w:rsid w:val="00694728"/>
    <w:rsid w:val="006A3E8D"/>
    <w:rsid w:val="006A7CEC"/>
    <w:rsid w:val="006B644D"/>
    <w:rsid w:val="006B78D5"/>
    <w:rsid w:val="006C01EC"/>
    <w:rsid w:val="006C24EC"/>
    <w:rsid w:val="006C2C27"/>
    <w:rsid w:val="006C575D"/>
    <w:rsid w:val="006C742A"/>
    <w:rsid w:val="006E6233"/>
    <w:rsid w:val="007106E5"/>
    <w:rsid w:val="0071534C"/>
    <w:rsid w:val="007253BB"/>
    <w:rsid w:val="007313B2"/>
    <w:rsid w:val="007320D7"/>
    <w:rsid w:val="00741DA7"/>
    <w:rsid w:val="0074368B"/>
    <w:rsid w:val="007455CE"/>
    <w:rsid w:val="00750A5B"/>
    <w:rsid w:val="00753FBF"/>
    <w:rsid w:val="007654D2"/>
    <w:rsid w:val="00774473"/>
    <w:rsid w:val="0078362C"/>
    <w:rsid w:val="00785634"/>
    <w:rsid w:val="00793984"/>
    <w:rsid w:val="00796DED"/>
    <w:rsid w:val="007B371E"/>
    <w:rsid w:val="007B44D7"/>
    <w:rsid w:val="007B7656"/>
    <w:rsid w:val="007C159A"/>
    <w:rsid w:val="007C2195"/>
    <w:rsid w:val="007C46D5"/>
    <w:rsid w:val="007C58D1"/>
    <w:rsid w:val="007D0E1E"/>
    <w:rsid w:val="007F0922"/>
    <w:rsid w:val="007F235E"/>
    <w:rsid w:val="007F423F"/>
    <w:rsid w:val="007F64A0"/>
    <w:rsid w:val="007F742E"/>
    <w:rsid w:val="00801DC5"/>
    <w:rsid w:val="00806C76"/>
    <w:rsid w:val="00807226"/>
    <w:rsid w:val="00820318"/>
    <w:rsid w:val="008216CB"/>
    <w:rsid w:val="00821B63"/>
    <w:rsid w:val="0082525F"/>
    <w:rsid w:val="008461BD"/>
    <w:rsid w:val="00865F1F"/>
    <w:rsid w:val="00870E03"/>
    <w:rsid w:val="008742E1"/>
    <w:rsid w:val="008832B3"/>
    <w:rsid w:val="00886A73"/>
    <w:rsid w:val="008907F2"/>
    <w:rsid w:val="0089155B"/>
    <w:rsid w:val="00892987"/>
    <w:rsid w:val="008939C2"/>
    <w:rsid w:val="008B3D04"/>
    <w:rsid w:val="008C26A8"/>
    <w:rsid w:val="008C4F8B"/>
    <w:rsid w:val="008F31E4"/>
    <w:rsid w:val="00903D7A"/>
    <w:rsid w:val="009069E6"/>
    <w:rsid w:val="009075A1"/>
    <w:rsid w:val="009208BA"/>
    <w:rsid w:val="009242F4"/>
    <w:rsid w:val="00933C83"/>
    <w:rsid w:val="00937209"/>
    <w:rsid w:val="009566B6"/>
    <w:rsid w:val="00956D06"/>
    <w:rsid w:val="00962030"/>
    <w:rsid w:val="00965C33"/>
    <w:rsid w:val="00966153"/>
    <w:rsid w:val="00970DC9"/>
    <w:rsid w:val="009733B6"/>
    <w:rsid w:val="0097462C"/>
    <w:rsid w:val="0098084A"/>
    <w:rsid w:val="00982AA3"/>
    <w:rsid w:val="009858B3"/>
    <w:rsid w:val="00987C04"/>
    <w:rsid w:val="009936D2"/>
    <w:rsid w:val="009946E1"/>
    <w:rsid w:val="009A3198"/>
    <w:rsid w:val="009B0189"/>
    <w:rsid w:val="009B3AF4"/>
    <w:rsid w:val="009B3B15"/>
    <w:rsid w:val="009B5D38"/>
    <w:rsid w:val="009C2980"/>
    <w:rsid w:val="009C4036"/>
    <w:rsid w:val="009C55F6"/>
    <w:rsid w:val="009C7F02"/>
    <w:rsid w:val="009D169C"/>
    <w:rsid w:val="009D2725"/>
    <w:rsid w:val="009D7818"/>
    <w:rsid w:val="009F0E79"/>
    <w:rsid w:val="009F1708"/>
    <w:rsid w:val="009F3E00"/>
    <w:rsid w:val="009F48DD"/>
    <w:rsid w:val="009F5864"/>
    <w:rsid w:val="00A0376D"/>
    <w:rsid w:val="00A10248"/>
    <w:rsid w:val="00A117E5"/>
    <w:rsid w:val="00A14F55"/>
    <w:rsid w:val="00A22EEE"/>
    <w:rsid w:val="00A60F82"/>
    <w:rsid w:val="00A7178E"/>
    <w:rsid w:val="00A72B01"/>
    <w:rsid w:val="00A752C0"/>
    <w:rsid w:val="00A76D7F"/>
    <w:rsid w:val="00A863DA"/>
    <w:rsid w:val="00A90D2A"/>
    <w:rsid w:val="00A937E4"/>
    <w:rsid w:val="00AA2269"/>
    <w:rsid w:val="00AA4B45"/>
    <w:rsid w:val="00AA5AF1"/>
    <w:rsid w:val="00AB08F9"/>
    <w:rsid w:val="00AB09F5"/>
    <w:rsid w:val="00AB1589"/>
    <w:rsid w:val="00AC1956"/>
    <w:rsid w:val="00AC3935"/>
    <w:rsid w:val="00AC4F44"/>
    <w:rsid w:val="00AE2F22"/>
    <w:rsid w:val="00AE5C9E"/>
    <w:rsid w:val="00B002A7"/>
    <w:rsid w:val="00B21964"/>
    <w:rsid w:val="00B24B2D"/>
    <w:rsid w:val="00B24F78"/>
    <w:rsid w:val="00B30F9C"/>
    <w:rsid w:val="00B3433B"/>
    <w:rsid w:val="00B34BFD"/>
    <w:rsid w:val="00B43F9F"/>
    <w:rsid w:val="00B54512"/>
    <w:rsid w:val="00B64090"/>
    <w:rsid w:val="00B665A1"/>
    <w:rsid w:val="00B72BF4"/>
    <w:rsid w:val="00B7363A"/>
    <w:rsid w:val="00B76DB7"/>
    <w:rsid w:val="00B80375"/>
    <w:rsid w:val="00B8333F"/>
    <w:rsid w:val="00B84518"/>
    <w:rsid w:val="00B91209"/>
    <w:rsid w:val="00B92CCF"/>
    <w:rsid w:val="00B97199"/>
    <w:rsid w:val="00B97767"/>
    <w:rsid w:val="00B978C4"/>
    <w:rsid w:val="00BA227D"/>
    <w:rsid w:val="00BA3514"/>
    <w:rsid w:val="00BA3FDD"/>
    <w:rsid w:val="00BA44C9"/>
    <w:rsid w:val="00BA739C"/>
    <w:rsid w:val="00BB0B7B"/>
    <w:rsid w:val="00BC022E"/>
    <w:rsid w:val="00BC0EF7"/>
    <w:rsid w:val="00BC25D3"/>
    <w:rsid w:val="00BC4EC9"/>
    <w:rsid w:val="00BD43C7"/>
    <w:rsid w:val="00BD490E"/>
    <w:rsid w:val="00BE14A2"/>
    <w:rsid w:val="00BE1C6C"/>
    <w:rsid w:val="00BE2375"/>
    <w:rsid w:val="00BF51F9"/>
    <w:rsid w:val="00C032E6"/>
    <w:rsid w:val="00C1174E"/>
    <w:rsid w:val="00C26BE3"/>
    <w:rsid w:val="00C330B0"/>
    <w:rsid w:val="00C338F6"/>
    <w:rsid w:val="00C4726E"/>
    <w:rsid w:val="00C54549"/>
    <w:rsid w:val="00C54921"/>
    <w:rsid w:val="00C65AC3"/>
    <w:rsid w:val="00C71499"/>
    <w:rsid w:val="00C8053C"/>
    <w:rsid w:val="00C824F2"/>
    <w:rsid w:val="00C82EB0"/>
    <w:rsid w:val="00C84053"/>
    <w:rsid w:val="00C8573D"/>
    <w:rsid w:val="00CA5C3C"/>
    <w:rsid w:val="00CB190F"/>
    <w:rsid w:val="00CC10A8"/>
    <w:rsid w:val="00CC778D"/>
    <w:rsid w:val="00CE1862"/>
    <w:rsid w:val="00CF0EB2"/>
    <w:rsid w:val="00CF5FBC"/>
    <w:rsid w:val="00D02350"/>
    <w:rsid w:val="00D13438"/>
    <w:rsid w:val="00D26548"/>
    <w:rsid w:val="00D27351"/>
    <w:rsid w:val="00D36C34"/>
    <w:rsid w:val="00D376F4"/>
    <w:rsid w:val="00D45BCE"/>
    <w:rsid w:val="00D462B2"/>
    <w:rsid w:val="00D472A2"/>
    <w:rsid w:val="00D474AE"/>
    <w:rsid w:val="00D51F74"/>
    <w:rsid w:val="00D54C0A"/>
    <w:rsid w:val="00D55C2A"/>
    <w:rsid w:val="00D570B3"/>
    <w:rsid w:val="00D61EF8"/>
    <w:rsid w:val="00D650E0"/>
    <w:rsid w:val="00D72178"/>
    <w:rsid w:val="00D75A1C"/>
    <w:rsid w:val="00D8534C"/>
    <w:rsid w:val="00D90D25"/>
    <w:rsid w:val="00DA6396"/>
    <w:rsid w:val="00DB02FD"/>
    <w:rsid w:val="00DB1047"/>
    <w:rsid w:val="00DB7288"/>
    <w:rsid w:val="00DC67E3"/>
    <w:rsid w:val="00DE1404"/>
    <w:rsid w:val="00DE335D"/>
    <w:rsid w:val="00DF180F"/>
    <w:rsid w:val="00DF2330"/>
    <w:rsid w:val="00DF5D9B"/>
    <w:rsid w:val="00DF79F2"/>
    <w:rsid w:val="00E03CF5"/>
    <w:rsid w:val="00E0797A"/>
    <w:rsid w:val="00E14515"/>
    <w:rsid w:val="00E16B12"/>
    <w:rsid w:val="00E20654"/>
    <w:rsid w:val="00E246A0"/>
    <w:rsid w:val="00E24A5D"/>
    <w:rsid w:val="00E26D49"/>
    <w:rsid w:val="00E27CEF"/>
    <w:rsid w:val="00E30164"/>
    <w:rsid w:val="00E310B2"/>
    <w:rsid w:val="00E45C14"/>
    <w:rsid w:val="00E45E86"/>
    <w:rsid w:val="00E46E7B"/>
    <w:rsid w:val="00E56964"/>
    <w:rsid w:val="00E66847"/>
    <w:rsid w:val="00E67117"/>
    <w:rsid w:val="00E74859"/>
    <w:rsid w:val="00E816D5"/>
    <w:rsid w:val="00E83CC1"/>
    <w:rsid w:val="00E901EC"/>
    <w:rsid w:val="00E9186E"/>
    <w:rsid w:val="00EA5AD2"/>
    <w:rsid w:val="00EA72AD"/>
    <w:rsid w:val="00EC34D9"/>
    <w:rsid w:val="00EC701F"/>
    <w:rsid w:val="00EE5294"/>
    <w:rsid w:val="00EE5AE2"/>
    <w:rsid w:val="00EE6076"/>
    <w:rsid w:val="00EF0CB9"/>
    <w:rsid w:val="00F01E5E"/>
    <w:rsid w:val="00F05323"/>
    <w:rsid w:val="00F10570"/>
    <w:rsid w:val="00F127BA"/>
    <w:rsid w:val="00F12F28"/>
    <w:rsid w:val="00F177E5"/>
    <w:rsid w:val="00F2170E"/>
    <w:rsid w:val="00F21D47"/>
    <w:rsid w:val="00F23E41"/>
    <w:rsid w:val="00F24FDD"/>
    <w:rsid w:val="00F302CD"/>
    <w:rsid w:val="00F449CB"/>
    <w:rsid w:val="00F47C66"/>
    <w:rsid w:val="00F51BBD"/>
    <w:rsid w:val="00F53AFC"/>
    <w:rsid w:val="00F6488F"/>
    <w:rsid w:val="00F70220"/>
    <w:rsid w:val="00F84F85"/>
    <w:rsid w:val="00F85AC7"/>
    <w:rsid w:val="00F95EC2"/>
    <w:rsid w:val="00FA4622"/>
    <w:rsid w:val="00FA51F1"/>
    <w:rsid w:val="00FB3F1C"/>
    <w:rsid w:val="00FC3A4F"/>
    <w:rsid w:val="00FC6958"/>
    <w:rsid w:val="00FD7EE8"/>
    <w:rsid w:val="00FE23C0"/>
    <w:rsid w:val="00FE2E70"/>
    <w:rsid w:val="00FE4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30C1A3"/>
  <w15:docId w15:val="{8815F00A-63B2-4B5B-ACA7-9F6E8036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34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03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6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B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B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B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B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B65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F3BE5"/>
    <w:pPr>
      <w:spacing w:after="0" w:line="240" w:lineRule="auto"/>
    </w:pPr>
    <w:rPr>
      <w:rFonts w:ascii="Times New Roman" w:hAnsi="Times New Roman" w:cs="Times New Roman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F3BE5"/>
    <w:rPr>
      <w:rFonts w:ascii="Times New Roman" w:hAnsi="Times New Roman" w:cs="Times New Roman"/>
      <w:lang w:eastAsia="en-US"/>
    </w:rPr>
  </w:style>
  <w:style w:type="paragraph" w:styleId="Revision">
    <w:name w:val="Revision"/>
    <w:hidden/>
    <w:uiPriority w:val="99"/>
    <w:semiHidden/>
    <w:rsid w:val="00E24A5D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3D10F8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D10F8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3D10F8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D10F8"/>
    <w:rPr>
      <w:rFonts w:ascii="Times New Roman" w:hAnsi="Times New Roman" w:cs="Times New Roman"/>
      <w:noProof/>
      <w:sz w:val="24"/>
    </w:rPr>
  </w:style>
  <w:style w:type="paragraph" w:customStyle="1" w:styleId="details">
    <w:name w:val="details"/>
    <w:basedOn w:val="Normal"/>
    <w:rsid w:val="00982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jrnl">
    <w:name w:val="jrnl"/>
    <w:basedOn w:val="DefaultParagraphFont"/>
    <w:rsid w:val="00982AA3"/>
  </w:style>
  <w:style w:type="character" w:customStyle="1" w:styleId="apple-converted-space">
    <w:name w:val="apple-converted-space"/>
    <w:basedOn w:val="DefaultParagraphFont"/>
    <w:rsid w:val="00982AA3"/>
  </w:style>
  <w:style w:type="paragraph" w:customStyle="1" w:styleId="desc">
    <w:name w:val="desc"/>
    <w:basedOn w:val="Normal"/>
    <w:rsid w:val="006E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element-citation">
    <w:name w:val="element-citation"/>
    <w:basedOn w:val="DefaultParagraphFont"/>
    <w:rsid w:val="006E6233"/>
  </w:style>
  <w:style w:type="character" w:customStyle="1" w:styleId="ref-journal">
    <w:name w:val="ref-journal"/>
    <w:basedOn w:val="DefaultParagraphFont"/>
    <w:rsid w:val="006E6233"/>
  </w:style>
  <w:style w:type="character" w:customStyle="1" w:styleId="Heading3Char">
    <w:name w:val="Heading 3 Char"/>
    <w:basedOn w:val="DefaultParagraphFont"/>
    <w:link w:val="Heading3"/>
    <w:uiPriority w:val="9"/>
    <w:rsid w:val="00D13438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D13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2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6A8"/>
  </w:style>
  <w:style w:type="paragraph" w:styleId="Footer">
    <w:name w:val="footer"/>
    <w:basedOn w:val="Normal"/>
    <w:link w:val="FooterChar"/>
    <w:uiPriority w:val="99"/>
    <w:unhideWhenUsed/>
    <w:rsid w:val="008C2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9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7876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4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Louisiana at Lafayette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Xiao</dc:creator>
  <cp:keywords/>
  <dc:description/>
  <cp:lastModifiedBy>Francois Villinger</cp:lastModifiedBy>
  <cp:revision>3</cp:revision>
  <cp:lastPrinted>2017-05-01T14:33:00Z</cp:lastPrinted>
  <dcterms:created xsi:type="dcterms:W3CDTF">2017-08-01T20:24:00Z</dcterms:created>
  <dcterms:modified xsi:type="dcterms:W3CDTF">2017-08-01T20:27:00Z</dcterms:modified>
</cp:coreProperties>
</file>