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3069E" w:rsidP="00494130">
      <w:pPr>
        <w:pStyle w:val="Ttulo1"/>
        <w:spacing w:before="170"/>
        <w:ind w:left="0"/>
        <w:rPr>
          <w:color w:val="337AB7"/>
        </w:rPr>
      </w:pPr>
      <w:r w:rsidRPr="0093069E">
        <w:rPr>
          <w:color w:val="337AB7"/>
        </w:rPr>
        <w:t>Antibiotics for treating urogenital Chlamydia trachomatis infection in men and non-pregnant women</w:t>
      </w:r>
    </w:p>
    <w:p w:rsidR="0093069E" w:rsidRPr="0093069E" w:rsidRDefault="0093069E" w:rsidP="0093069E">
      <w:r w:rsidRPr="0093069E">
        <w:t>Carol P</w:t>
      </w:r>
      <w:r>
        <w:t>a</w:t>
      </w:r>
      <w:r w:rsidRPr="0093069E">
        <w:t>ez-Canro1, Juan Pablo Alzate2, Lina M Gonz</w:t>
      </w:r>
      <w:r>
        <w:t>alez2, Jorge Andres Rubio-Romero3, Anne Lethaby4</w:t>
      </w:r>
      <w:r w:rsidRPr="0093069E">
        <w:t>, Hernando G Gait</w:t>
      </w:r>
      <w:r>
        <w:t>an3</w:t>
      </w:r>
    </w:p>
    <w:p w:rsidR="0093069E" w:rsidRDefault="0093069E" w:rsidP="0093069E">
      <w:pPr>
        <w:pStyle w:val="Textoindependiente"/>
        <w:spacing w:before="73" w:line="198" w:lineRule="exact"/>
        <w:ind w:right="5987"/>
        <w:rPr>
          <w:rFonts w:ascii="Arial"/>
        </w:rPr>
      </w:pPr>
      <w:r w:rsidRPr="0093069E">
        <w:rPr>
          <w:rFonts w:ascii="Arial"/>
        </w:rPr>
        <w:t>1</w:t>
      </w:r>
      <w:r>
        <w:rPr>
          <w:rFonts w:ascii="Arial"/>
        </w:rPr>
        <w:t xml:space="preserve"> </w:t>
      </w:r>
      <w:r w:rsidRPr="0093069E">
        <w:rPr>
          <w:rFonts w:ascii="Arial"/>
        </w:rPr>
        <w:t xml:space="preserve">Clinical Research Institute, Faculty of Medicine, Universidad </w:t>
      </w:r>
      <w:proofErr w:type="spellStart"/>
      <w:r w:rsidRPr="0093069E">
        <w:rPr>
          <w:rFonts w:ascii="Arial"/>
        </w:rPr>
        <w:t>Nacional</w:t>
      </w:r>
      <w:proofErr w:type="spellEnd"/>
      <w:r w:rsidRPr="0093069E">
        <w:rPr>
          <w:rFonts w:ascii="Arial"/>
        </w:rPr>
        <w:t xml:space="preserve"> de Colombia, Bogota, Colombia</w:t>
      </w:r>
    </w:p>
    <w:p w:rsidR="0093069E" w:rsidRDefault="0093069E" w:rsidP="0093069E">
      <w:pPr>
        <w:pStyle w:val="Textoindependiente"/>
        <w:spacing w:before="73" w:line="198" w:lineRule="exact"/>
        <w:ind w:right="5987"/>
        <w:rPr>
          <w:rFonts w:ascii="Arial"/>
        </w:rPr>
      </w:pPr>
      <w:r w:rsidRPr="0093069E">
        <w:rPr>
          <w:rFonts w:ascii="Arial"/>
        </w:rPr>
        <w:t>2</w:t>
      </w:r>
      <w:r>
        <w:rPr>
          <w:rFonts w:ascii="Arial"/>
        </w:rPr>
        <w:t xml:space="preserve"> </w:t>
      </w:r>
      <w:r w:rsidRPr="0093069E">
        <w:rPr>
          <w:rFonts w:ascii="Arial"/>
        </w:rPr>
        <w:t xml:space="preserve">Research Unit, </w:t>
      </w:r>
      <w:proofErr w:type="spellStart"/>
      <w:r w:rsidRPr="0093069E">
        <w:rPr>
          <w:rFonts w:ascii="Arial"/>
        </w:rPr>
        <w:t>Fundaci</w:t>
      </w:r>
      <w:r w:rsidR="00E032F4">
        <w:rPr>
          <w:rFonts w:ascii="Arial"/>
        </w:rPr>
        <w:t>o</w:t>
      </w:r>
      <w:r w:rsidRPr="0093069E">
        <w:rPr>
          <w:rFonts w:ascii="Arial"/>
        </w:rPr>
        <w:t>n</w:t>
      </w:r>
      <w:proofErr w:type="spellEnd"/>
      <w:r w:rsidRPr="0093069E">
        <w:rPr>
          <w:rFonts w:ascii="Arial"/>
        </w:rPr>
        <w:t xml:space="preserve"> </w:t>
      </w:r>
      <w:proofErr w:type="spellStart"/>
      <w:r w:rsidRPr="0093069E">
        <w:rPr>
          <w:rFonts w:ascii="Arial"/>
        </w:rPr>
        <w:t>Universitaria</w:t>
      </w:r>
      <w:proofErr w:type="spellEnd"/>
      <w:r w:rsidRPr="0093069E">
        <w:rPr>
          <w:rFonts w:ascii="Arial"/>
        </w:rPr>
        <w:t xml:space="preserve"> de </w:t>
      </w:r>
      <w:proofErr w:type="spellStart"/>
      <w:r w:rsidRPr="0093069E">
        <w:rPr>
          <w:rFonts w:ascii="Arial"/>
        </w:rPr>
        <w:t>Ciencias</w:t>
      </w:r>
      <w:proofErr w:type="spellEnd"/>
      <w:r w:rsidRPr="0093069E">
        <w:rPr>
          <w:rFonts w:ascii="Arial"/>
        </w:rPr>
        <w:t xml:space="preserve"> de la </w:t>
      </w:r>
      <w:proofErr w:type="spellStart"/>
      <w:r w:rsidRPr="0093069E">
        <w:rPr>
          <w:rFonts w:ascii="Arial"/>
        </w:rPr>
        <w:t>Salud</w:t>
      </w:r>
      <w:proofErr w:type="spellEnd"/>
      <w:r w:rsidRPr="0093069E">
        <w:rPr>
          <w:rFonts w:ascii="Arial"/>
        </w:rPr>
        <w:t xml:space="preserve">, Hospital </w:t>
      </w:r>
      <w:proofErr w:type="spellStart"/>
      <w:r w:rsidRPr="0093069E">
        <w:rPr>
          <w:rFonts w:ascii="Arial"/>
        </w:rPr>
        <w:t>Infantil</w:t>
      </w:r>
      <w:proofErr w:type="spellEnd"/>
      <w:r w:rsidRPr="0093069E">
        <w:rPr>
          <w:rFonts w:ascii="Arial"/>
        </w:rPr>
        <w:t xml:space="preserve"> de San Jose, Bogota, Colombia</w:t>
      </w:r>
    </w:p>
    <w:p w:rsidR="0093069E" w:rsidRDefault="0093069E" w:rsidP="0093069E">
      <w:pPr>
        <w:pStyle w:val="Textoindependiente"/>
        <w:spacing w:before="73" w:line="198" w:lineRule="exact"/>
        <w:ind w:right="5987"/>
        <w:rPr>
          <w:rFonts w:ascii="Arial"/>
        </w:rPr>
      </w:pPr>
      <w:r>
        <w:rPr>
          <w:rFonts w:ascii="Arial"/>
        </w:rPr>
        <w:t xml:space="preserve">3 </w:t>
      </w:r>
      <w:r w:rsidRPr="0093069E">
        <w:rPr>
          <w:rFonts w:ascii="Arial"/>
        </w:rPr>
        <w:t xml:space="preserve">Department of Obstetrics and Gynecology, Faculty of Medicine, Universidad </w:t>
      </w:r>
      <w:proofErr w:type="spellStart"/>
      <w:r w:rsidRPr="0093069E">
        <w:rPr>
          <w:rFonts w:ascii="Arial"/>
        </w:rPr>
        <w:t>Nacional</w:t>
      </w:r>
      <w:proofErr w:type="spellEnd"/>
      <w:r w:rsidRPr="0093069E">
        <w:rPr>
          <w:rFonts w:ascii="Arial"/>
        </w:rPr>
        <w:t xml:space="preserve"> de Colombia, Bogota, Colombia</w:t>
      </w:r>
    </w:p>
    <w:p w:rsidR="00AE3E37" w:rsidRPr="0093069E" w:rsidRDefault="0093069E" w:rsidP="0093069E">
      <w:pPr>
        <w:pStyle w:val="Textoindependiente"/>
        <w:spacing w:before="73" w:line="198" w:lineRule="exact"/>
        <w:ind w:right="5987"/>
        <w:rPr>
          <w:rFonts w:ascii="Arial"/>
        </w:rPr>
      </w:pPr>
      <w:r>
        <w:rPr>
          <w:rFonts w:ascii="Arial"/>
        </w:rPr>
        <w:t xml:space="preserve">4 </w:t>
      </w:r>
      <w:r w:rsidRPr="0093069E">
        <w:rPr>
          <w:rFonts w:ascii="Arial"/>
        </w:rPr>
        <w:t xml:space="preserve">Department of Obstetrics and </w:t>
      </w:r>
      <w:proofErr w:type="spellStart"/>
      <w:r w:rsidRPr="0093069E">
        <w:rPr>
          <w:rFonts w:ascii="Arial"/>
        </w:rPr>
        <w:t>Gynaecology</w:t>
      </w:r>
      <w:proofErr w:type="spellEnd"/>
      <w:r w:rsidRPr="0093069E">
        <w:rPr>
          <w:rFonts w:ascii="Arial"/>
        </w:rPr>
        <w:t xml:space="preserve">, University of Auckland, Auckland, New </w:t>
      </w:r>
      <w:proofErr w:type="spellStart"/>
      <w:r w:rsidRPr="0093069E">
        <w:rPr>
          <w:rFonts w:ascii="Arial"/>
        </w:rPr>
        <w:t>Zealand</w:t>
      </w:r>
      <w:r w:rsidR="0078738A">
        <w:rPr>
          <w:rFonts w:ascii="Arial"/>
        </w:rPr>
        <w:t>Dr</w:t>
      </w:r>
      <w:proofErr w:type="spellEnd"/>
      <w:r w:rsidR="0078738A">
        <w:rPr>
          <w:rFonts w:ascii="Arial"/>
        </w:rPr>
        <w:t xml:space="preserve"> ABC</w:t>
      </w:r>
      <w:r w:rsidR="005973B9">
        <w:rPr>
          <w:rFonts w:ascii="Arial"/>
        </w:rPr>
        <w:t xml:space="preserve">, RN PhD, TLI Foundation, USA </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(300 word limit)</w:t>
      </w:r>
    </w:p>
    <w:p w:rsidR="0093069E" w:rsidRPr="0093069E" w:rsidRDefault="0093069E" w:rsidP="0093069E">
      <w:pPr>
        <w:pStyle w:val="Ttulo3"/>
        <w:spacing w:before="74"/>
        <w:rPr>
          <w:b w:val="0"/>
        </w:rPr>
      </w:pPr>
      <w:r>
        <w:rPr>
          <w:b w:val="0"/>
        </w:rPr>
        <w:t xml:space="preserve">Background: </w:t>
      </w:r>
      <w:r w:rsidRPr="0093069E">
        <w:rPr>
          <w:b w:val="0"/>
        </w:rPr>
        <w:t>The genital infection caused by Chlamydia trachomatis (CT) is one of the most common sexually transmitted diseases (STDs) globally. Different antibiotics regimens are recommended in clinical practice guidelines (CPG) for CT urogenital infections</w:t>
      </w:r>
      <w:r>
        <w:rPr>
          <w:b w:val="0"/>
        </w:rPr>
        <w:t>.</w:t>
      </w:r>
    </w:p>
    <w:p w:rsidR="0093069E" w:rsidRPr="0093069E" w:rsidRDefault="0093069E" w:rsidP="0093069E">
      <w:pPr>
        <w:pStyle w:val="Ttulo3"/>
        <w:spacing w:before="74"/>
        <w:rPr>
          <w:b w:val="0"/>
        </w:rPr>
      </w:pPr>
      <w:r w:rsidRPr="0093069E">
        <w:rPr>
          <w:b w:val="0"/>
        </w:rPr>
        <w:t>Objectives  </w:t>
      </w:r>
    </w:p>
    <w:p w:rsidR="0093069E" w:rsidRPr="0093069E" w:rsidRDefault="0093069E" w:rsidP="0093069E">
      <w:pPr>
        <w:pStyle w:val="Ttulo3"/>
        <w:spacing w:before="74"/>
        <w:rPr>
          <w:b w:val="0"/>
        </w:rPr>
      </w:pPr>
      <w:r w:rsidRPr="0093069E">
        <w:rPr>
          <w:b w:val="0"/>
        </w:rPr>
        <w:t>To assess the efficacy and safety of antibiotic treatmen</w:t>
      </w:r>
      <w:r w:rsidR="00330705">
        <w:rPr>
          <w:b w:val="0"/>
        </w:rPr>
        <w:t>t for Chlamydia trachomatis</w:t>
      </w:r>
      <w:r w:rsidRPr="0093069E">
        <w:rPr>
          <w:b w:val="0"/>
        </w:rPr>
        <w:t xml:space="preserve"> genital infection in men and non-pregnant women.</w:t>
      </w:r>
    </w:p>
    <w:p w:rsidR="0093069E" w:rsidRPr="0093069E" w:rsidRDefault="0093069E" w:rsidP="0093069E">
      <w:pPr>
        <w:pStyle w:val="Ttulo3"/>
        <w:spacing w:before="74"/>
        <w:rPr>
          <w:b w:val="0"/>
        </w:rPr>
      </w:pPr>
      <w:r w:rsidRPr="0093069E">
        <w:rPr>
          <w:b w:val="0"/>
        </w:rPr>
        <w:t>Search methods  </w:t>
      </w:r>
    </w:p>
    <w:p w:rsidR="0093069E" w:rsidRPr="0093069E" w:rsidRDefault="00330705" w:rsidP="0093069E">
      <w:pPr>
        <w:pStyle w:val="Ttulo3"/>
        <w:spacing w:before="74"/>
        <w:rPr>
          <w:b w:val="0"/>
        </w:rPr>
      </w:pPr>
      <w:r>
        <w:rPr>
          <w:b w:val="0"/>
        </w:rPr>
        <w:t>We</w:t>
      </w:r>
      <w:r w:rsidR="0093069E" w:rsidRPr="0093069E">
        <w:rPr>
          <w:b w:val="0"/>
        </w:rPr>
        <w:t xml:space="preserve"> developed the electronic searches</w:t>
      </w:r>
      <w:r>
        <w:rPr>
          <w:b w:val="0"/>
        </w:rPr>
        <w:t xml:space="preserve"> in</w:t>
      </w:r>
      <w:r w:rsidR="0093069E">
        <w:rPr>
          <w:b w:val="0"/>
        </w:rPr>
        <w:t>;</w:t>
      </w:r>
      <w:r>
        <w:rPr>
          <w:b w:val="0"/>
        </w:rPr>
        <w:t xml:space="preserve"> </w:t>
      </w:r>
      <w:r w:rsidR="0093069E" w:rsidRPr="0093069E">
        <w:rPr>
          <w:b w:val="0"/>
        </w:rPr>
        <w:t xml:space="preserve">(CENTRAL, MEDLINE, </w:t>
      </w:r>
      <w:proofErr w:type="spellStart"/>
      <w:r w:rsidR="0093069E" w:rsidRPr="0093069E">
        <w:rPr>
          <w:b w:val="0"/>
        </w:rPr>
        <w:t>Embase</w:t>
      </w:r>
      <w:proofErr w:type="spellEnd"/>
      <w:r w:rsidR="0093069E" w:rsidRPr="0093069E">
        <w:rPr>
          <w:b w:val="0"/>
        </w:rPr>
        <w:t xml:space="preserve"> and LIL</w:t>
      </w:r>
      <w:r w:rsidR="0093069E">
        <w:rPr>
          <w:b w:val="0"/>
        </w:rPr>
        <w:t>ACS), and two trials registers.</w:t>
      </w:r>
    </w:p>
    <w:p w:rsidR="0093069E" w:rsidRPr="0093069E" w:rsidRDefault="0093069E" w:rsidP="0093069E">
      <w:pPr>
        <w:pStyle w:val="Ttulo3"/>
        <w:spacing w:before="74"/>
        <w:rPr>
          <w:b w:val="0"/>
        </w:rPr>
      </w:pPr>
      <w:r w:rsidRPr="0093069E">
        <w:rPr>
          <w:b w:val="0"/>
        </w:rPr>
        <w:t>Selection criteria  </w:t>
      </w:r>
    </w:p>
    <w:p w:rsidR="0093069E" w:rsidRPr="0093069E" w:rsidRDefault="0093069E" w:rsidP="0093069E">
      <w:pPr>
        <w:pStyle w:val="Ttulo3"/>
        <w:spacing w:before="74"/>
        <w:rPr>
          <w:b w:val="0"/>
        </w:rPr>
      </w:pPr>
      <w:r w:rsidRPr="0093069E">
        <w:rPr>
          <w:b w:val="0"/>
        </w:rPr>
        <w:t xml:space="preserve">We included </w:t>
      </w:r>
      <w:proofErr w:type="spellStart"/>
      <w:r w:rsidRPr="0093069E">
        <w:rPr>
          <w:b w:val="0"/>
        </w:rPr>
        <w:t>randomised</w:t>
      </w:r>
      <w:proofErr w:type="spellEnd"/>
      <w:r w:rsidRPr="0093069E">
        <w:rPr>
          <w:b w:val="0"/>
        </w:rPr>
        <w:t xml:space="preserve"> con</w:t>
      </w:r>
      <w:r w:rsidR="00330705">
        <w:rPr>
          <w:b w:val="0"/>
        </w:rPr>
        <w:t>trolled trials</w:t>
      </w:r>
      <w:r w:rsidRPr="0093069E">
        <w:rPr>
          <w:b w:val="0"/>
        </w:rPr>
        <w:t xml:space="preserve"> of sexually</w:t>
      </w:r>
      <w:r w:rsidR="00330705">
        <w:rPr>
          <w:b w:val="0"/>
        </w:rPr>
        <w:t xml:space="preserve">-active non-pregnant women </w:t>
      </w:r>
      <w:r w:rsidRPr="0093069E">
        <w:rPr>
          <w:b w:val="0"/>
        </w:rPr>
        <w:t xml:space="preserve">and men with </w:t>
      </w:r>
      <w:r w:rsidR="00330705">
        <w:rPr>
          <w:b w:val="0"/>
        </w:rPr>
        <w:t>genital CT infection</w:t>
      </w:r>
    </w:p>
    <w:p w:rsidR="0093069E" w:rsidRPr="0093069E" w:rsidRDefault="0093069E" w:rsidP="0093069E">
      <w:pPr>
        <w:pStyle w:val="Ttulo3"/>
        <w:spacing w:before="74"/>
        <w:rPr>
          <w:b w:val="0"/>
        </w:rPr>
      </w:pPr>
      <w:r>
        <w:rPr>
          <w:b w:val="0"/>
        </w:rPr>
        <w:t>A</w:t>
      </w:r>
      <w:r w:rsidRPr="0093069E">
        <w:rPr>
          <w:b w:val="0"/>
        </w:rPr>
        <w:t>nalysis  </w:t>
      </w:r>
    </w:p>
    <w:p w:rsidR="0093069E" w:rsidRDefault="0093069E" w:rsidP="0093069E">
      <w:pPr>
        <w:pStyle w:val="Ttulo3"/>
        <w:spacing w:before="74"/>
        <w:rPr>
          <w:b w:val="0"/>
        </w:rPr>
      </w:pPr>
      <w:r w:rsidRPr="0093069E">
        <w:rPr>
          <w:b w:val="0"/>
        </w:rPr>
        <w:t xml:space="preserve">We </w:t>
      </w:r>
      <w:r w:rsidR="00330705">
        <w:rPr>
          <w:b w:val="0"/>
        </w:rPr>
        <w:t xml:space="preserve">estimated the pooled risk ratio. </w:t>
      </w:r>
      <w:r w:rsidRPr="0093069E">
        <w:rPr>
          <w:b w:val="0"/>
        </w:rPr>
        <w:t>Our primary outcomes were microbiological failure and adverse events</w:t>
      </w:r>
    </w:p>
    <w:p w:rsidR="0093069E" w:rsidRPr="0093069E" w:rsidRDefault="0093069E" w:rsidP="0093069E">
      <w:pPr>
        <w:pStyle w:val="Ttulo3"/>
        <w:spacing w:before="74"/>
        <w:rPr>
          <w:b w:val="0"/>
        </w:rPr>
      </w:pPr>
      <w:r w:rsidRPr="0093069E">
        <w:rPr>
          <w:b w:val="0"/>
        </w:rPr>
        <w:t>Main results  </w:t>
      </w:r>
    </w:p>
    <w:p w:rsidR="0093069E" w:rsidRDefault="0093069E" w:rsidP="0093069E">
      <w:pPr>
        <w:pStyle w:val="Ttulo3"/>
        <w:spacing w:before="74"/>
        <w:rPr>
          <w:b w:val="0"/>
        </w:rPr>
      </w:pPr>
      <w:r>
        <w:rPr>
          <w:b w:val="0"/>
        </w:rPr>
        <w:t>We selected 14 studies.</w:t>
      </w:r>
    </w:p>
    <w:p w:rsidR="0093069E" w:rsidRPr="0093069E" w:rsidRDefault="0093069E" w:rsidP="0093069E">
      <w:pPr>
        <w:pStyle w:val="Ttulo3"/>
        <w:spacing w:before="74"/>
        <w:rPr>
          <w:b w:val="0"/>
        </w:rPr>
      </w:pPr>
      <w:r w:rsidRPr="0093069E">
        <w:rPr>
          <w:b w:val="0"/>
        </w:rPr>
        <w:t xml:space="preserve">For azithromycin </w:t>
      </w:r>
      <w:proofErr w:type="spellStart"/>
      <w:r w:rsidRPr="0093069E">
        <w:rPr>
          <w:b w:val="0"/>
        </w:rPr>
        <w:t>vs</w:t>
      </w:r>
      <w:proofErr w:type="spellEnd"/>
      <w:r w:rsidRPr="0093069E">
        <w:rPr>
          <w:b w:val="0"/>
        </w:rPr>
        <w:t xml:space="preserve"> doxycycline in women treated for CT, the effect on microbiological failure was uncertain </w:t>
      </w:r>
      <w:r>
        <w:rPr>
          <w:b w:val="0"/>
        </w:rPr>
        <w:t>(RR = 1.71, 95% CI 0.48 to 6.16</w:t>
      </w:r>
      <w:r w:rsidRPr="0093069E">
        <w:rPr>
          <w:b w:val="0"/>
        </w:rPr>
        <w:t>). In men treated for CT, the risk of microbiological failure was probably higher with azithromycin compared to doxycycline (RR 2.45, 95% CI 1.36 to 4.41</w:t>
      </w:r>
      <w:r>
        <w:rPr>
          <w:b w:val="0"/>
        </w:rPr>
        <w:t>). W</w:t>
      </w:r>
      <w:r w:rsidRPr="0093069E">
        <w:rPr>
          <w:b w:val="0"/>
        </w:rPr>
        <w:t>e found that azithromycin probably has less adverse events in both genders compared to doxycycline (RR 0.83,</w:t>
      </w:r>
      <w:r>
        <w:rPr>
          <w:b w:val="0"/>
        </w:rPr>
        <w:t xml:space="preserve"> 95% CI 0.73 to 0.95; I2 = 0%</w:t>
      </w:r>
      <w:r w:rsidRPr="0093069E">
        <w:rPr>
          <w:b w:val="0"/>
        </w:rPr>
        <w:t>).</w:t>
      </w:r>
    </w:p>
    <w:p w:rsidR="0093069E" w:rsidRPr="0093069E" w:rsidRDefault="0093069E" w:rsidP="0093069E">
      <w:pPr>
        <w:pStyle w:val="Ttulo3"/>
        <w:spacing w:before="74"/>
        <w:rPr>
          <w:b w:val="0"/>
        </w:rPr>
      </w:pPr>
      <w:r w:rsidRPr="0093069E">
        <w:rPr>
          <w:b w:val="0"/>
        </w:rPr>
        <w:t xml:space="preserve">For </w:t>
      </w:r>
      <w:proofErr w:type="spellStart"/>
      <w:r w:rsidRPr="0093069E">
        <w:rPr>
          <w:b w:val="0"/>
        </w:rPr>
        <w:t>tetracyclines</w:t>
      </w:r>
      <w:proofErr w:type="spellEnd"/>
      <w:r w:rsidRPr="0093069E">
        <w:rPr>
          <w:b w:val="0"/>
        </w:rPr>
        <w:t xml:space="preserve"> </w:t>
      </w:r>
      <w:proofErr w:type="spellStart"/>
      <w:r w:rsidRPr="0093069E">
        <w:rPr>
          <w:b w:val="0"/>
        </w:rPr>
        <w:t>vs</w:t>
      </w:r>
      <w:proofErr w:type="spellEnd"/>
      <w:r w:rsidRPr="0093069E">
        <w:rPr>
          <w:b w:val="0"/>
        </w:rPr>
        <w:t xml:space="preserve"> quinolones, the effect of doxycycline compared to </w:t>
      </w:r>
      <w:proofErr w:type="spellStart"/>
      <w:r w:rsidRPr="0093069E">
        <w:rPr>
          <w:b w:val="0"/>
        </w:rPr>
        <w:t>ofloxacin</w:t>
      </w:r>
      <w:proofErr w:type="spellEnd"/>
      <w:r w:rsidRPr="0093069E">
        <w:rPr>
          <w:b w:val="0"/>
        </w:rPr>
        <w:t xml:space="preserve"> on microbiological failure in women</w:t>
      </w:r>
      <w:r>
        <w:rPr>
          <w:b w:val="0"/>
        </w:rPr>
        <w:t xml:space="preserve"> </w:t>
      </w:r>
      <w:r w:rsidRPr="0093069E">
        <w:rPr>
          <w:b w:val="0"/>
        </w:rPr>
        <w:t xml:space="preserve">was not estimable and the effect of doxycycline </w:t>
      </w:r>
      <w:proofErr w:type="spellStart"/>
      <w:r w:rsidRPr="0093069E">
        <w:rPr>
          <w:b w:val="0"/>
        </w:rPr>
        <w:t>vs</w:t>
      </w:r>
      <w:proofErr w:type="spellEnd"/>
      <w:r w:rsidRPr="0093069E">
        <w:rPr>
          <w:b w:val="0"/>
        </w:rPr>
        <w:t xml:space="preserve"> </w:t>
      </w:r>
      <w:proofErr w:type="spellStart"/>
      <w:r w:rsidRPr="0093069E">
        <w:rPr>
          <w:b w:val="0"/>
        </w:rPr>
        <w:t>ofloxacin</w:t>
      </w:r>
      <w:proofErr w:type="spellEnd"/>
      <w:r w:rsidRPr="0093069E">
        <w:rPr>
          <w:b w:val="0"/>
        </w:rPr>
        <w:t xml:space="preserve"> also in women on clinical failure was uncertain </w:t>
      </w:r>
      <w:r>
        <w:rPr>
          <w:b w:val="0"/>
        </w:rPr>
        <w:t>(RR 0.94, 95% CI 0.39 to 2.25</w:t>
      </w:r>
      <w:r w:rsidRPr="0093069E">
        <w:rPr>
          <w:b w:val="0"/>
        </w:rPr>
        <w:t xml:space="preserve">). </w:t>
      </w:r>
      <w:r w:rsidRPr="0093069E">
        <w:rPr>
          <w:b w:val="0"/>
        </w:rPr>
        <w:lastRenderedPageBreak/>
        <w:t xml:space="preserve">For men treated for CT the effect of doxycycline compared to </w:t>
      </w:r>
      <w:proofErr w:type="spellStart"/>
      <w:r w:rsidRPr="0093069E">
        <w:rPr>
          <w:b w:val="0"/>
        </w:rPr>
        <w:t>ofloxacin</w:t>
      </w:r>
      <w:proofErr w:type="spellEnd"/>
      <w:r w:rsidRPr="0093069E">
        <w:rPr>
          <w:b w:val="0"/>
        </w:rPr>
        <w:t xml:space="preserve"> at the same doses on microbiological failure was uncertain (RR 8.53, 95% CI 0.43 to 167.3</w:t>
      </w:r>
      <w:r>
        <w:rPr>
          <w:b w:val="0"/>
        </w:rPr>
        <w:t>)</w:t>
      </w:r>
    </w:p>
    <w:p w:rsidR="0093069E" w:rsidRPr="0093069E" w:rsidRDefault="0093069E" w:rsidP="0093069E">
      <w:pPr>
        <w:pStyle w:val="Ttulo3"/>
        <w:spacing w:before="74"/>
        <w:rPr>
          <w:b w:val="0"/>
        </w:rPr>
      </w:pPr>
      <w:r>
        <w:rPr>
          <w:b w:val="0"/>
        </w:rPr>
        <w:t>Conclusions</w:t>
      </w:r>
    </w:p>
    <w:p w:rsidR="0093069E" w:rsidRPr="0093069E" w:rsidRDefault="0093069E" w:rsidP="0093069E">
      <w:pPr>
        <w:pStyle w:val="Ttulo3"/>
        <w:spacing w:before="74"/>
        <w:rPr>
          <w:b w:val="0"/>
        </w:rPr>
      </w:pPr>
      <w:r w:rsidRPr="0093069E">
        <w:rPr>
          <w:b w:val="0"/>
        </w:rPr>
        <w:t>Regimens with azithromycin 1 gram single oral dose has probably less efficacy than doxycycline 100 mg twice a day for seven days in men in terms of microbiological failure. However, in men there might be little or no difference</w:t>
      </w:r>
      <w:r>
        <w:rPr>
          <w:b w:val="0"/>
        </w:rPr>
        <w:t>s in terms of clinical failure.</w:t>
      </w:r>
    </w:p>
    <w:p w:rsidR="00AE3E37" w:rsidRDefault="008756E6">
      <w:pPr>
        <w:spacing w:line="200" w:lineRule="exact"/>
        <w:jc w:val="both"/>
        <w:rPr>
          <w:rFonts w:ascii="Calibri" w:hAnsi="Calibri"/>
        </w:rPr>
      </w:pPr>
      <w:r>
        <w:rPr>
          <w:rFonts w:ascii="Calibri" w:hAnsi="Calibri"/>
        </w:rPr>
        <w:t xml:space="preserve">   </w:t>
      </w:r>
    </w:p>
    <w:p w:rsidR="00330705" w:rsidRDefault="00330705">
      <w:pPr>
        <w:spacing w:line="200" w:lineRule="exact"/>
        <w:jc w:val="both"/>
        <w:rPr>
          <w:color w:val="BF5A14"/>
        </w:rPr>
      </w:pPr>
      <w:r>
        <w:rPr>
          <w:color w:val="BF5A14"/>
        </w:rPr>
        <w:t>Image</w:t>
      </w:r>
    </w:p>
    <w:p w:rsidR="00330705" w:rsidRDefault="00D8095C">
      <w:pPr>
        <w:spacing w:line="200" w:lineRule="exact"/>
        <w:jc w:val="both"/>
        <w:rPr>
          <w:color w:val="BF5A14"/>
        </w:rPr>
      </w:pPr>
      <w:r w:rsidRPr="00330705">
        <w:rPr>
          <w:noProof/>
          <w:color w:val="BF5A14"/>
          <w:lang w:val="es-CO" w:eastAsia="es-CO"/>
        </w:rPr>
        <w:drawing>
          <wp:anchor distT="0" distB="0" distL="114300" distR="114300" simplePos="0" relativeHeight="251672064" behindDoc="0" locked="0" layoutInCell="1" allowOverlap="1" wp14:anchorId="77A4E25E" wp14:editId="0B8D2172">
            <wp:simplePos x="0" y="0"/>
            <wp:positionH relativeFrom="column">
              <wp:posOffset>-101601</wp:posOffset>
            </wp:positionH>
            <wp:positionV relativeFrom="paragraph">
              <wp:posOffset>64770</wp:posOffset>
            </wp:positionV>
            <wp:extent cx="3543117" cy="2286000"/>
            <wp:effectExtent l="0" t="0" r="635" b="0"/>
            <wp:wrapNone/>
            <wp:docPr id="6" name="Imagen 6" descr="C:\Users\juanpablo\Desktop\Forest 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anpablo\Desktop\Forest plot.png"/>
                    <pic:cNvPicPr>
                      <a:picLocks noChangeAspect="1" noChangeArrowheads="1"/>
                    </pic:cNvPicPr>
                  </pic:nvPicPr>
                  <pic:blipFill rotWithShape="1">
                    <a:blip r:embed="rId10">
                      <a:extLst>
                        <a:ext uri="{28A0092B-C50C-407E-A947-70E740481C1C}">
                          <a14:useLocalDpi xmlns:a14="http://schemas.microsoft.com/office/drawing/2010/main" val="0"/>
                        </a:ext>
                      </a:extLst>
                    </a:blip>
                    <a:srcRect r="14978" b="20229"/>
                    <a:stretch/>
                  </pic:blipFill>
                  <pic:spPr bwMode="auto">
                    <a:xfrm>
                      <a:off x="0" y="0"/>
                      <a:ext cx="3545595" cy="22875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Default="00330705">
      <w:pPr>
        <w:spacing w:line="200" w:lineRule="exact"/>
        <w:jc w:val="both"/>
        <w:rPr>
          <w:color w:val="BF5A14"/>
        </w:rPr>
      </w:pPr>
    </w:p>
    <w:p w:rsidR="00330705" w:rsidRPr="00330705" w:rsidRDefault="00D8095C" w:rsidP="00FE75C5">
      <w:pPr>
        <w:pStyle w:val="NormalWeb"/>
        <w:rPr>
          <w:rFonts w:ascii="Tw Cen MT" w:hAnsi="Tw Cen MT"/>
          <w:color w:val="BF5A14"/>
        </w:rPr>
      </w:pPr>
      <w:r w:rsidRPr="00D8095C">
        <w:rPr>
          <w:rFonts w:ascii="Arial" w:eastAsia="Arial" w:hAnsi="Arial" w:cs="Arial"/>
          <w:bCs/>
          <w:sz w:val="20"/>
          <w:szCs w:val="20"/>
          <w:lang w:val="en-US" w:eastAsia="en-US"/>
        </w:rPr>
        <w:t xml:space="preserve">Figure 1. Forest plot of comparison 1. Macrolides. Regimens with azithromycin: azithromycin 1 g-only dose </w:t>
      </w:r>
      <w:proofErr w:type="spellStart"/>
      <w:r w:rsidRPr="00D8095C">
        <w:rPr>
          <w:rFonts w:ascii="Arial" w:eastAsia="Arial" w:hAnsi="Arial" w:cs="Arial"/>
          <w:bCs/>
          <w:sz w:val="20"/>
          <w:szCs w:val="20"/>
          <w:lang w:val="en-US" w:eastAsia="en-US"/>
        </w:rPr>
        <w:t>vs</w:t>
      </w:r>
      <w:proofErr w:type="spellEnd"/>
      <w:r w:rsidRPr="00D8095C">
        <w:rPr>
          <w:rFonts w:ascii="Arial" w:eastAsia="Arial" w:hAnsi="Arial" w:cs="Arial"/>
          <w:bCs/>
          <w:sz w:val="20"/>
          <w:szCs w:val="20"/>
          <w:lang w:val="en-US" w:eastAsia="en-US"/>
        </w:rPr>
        <w:t xml:space="preserve"> doxycycline 100 mg twice a day for 7 days, outcome: 1.1 microbiological failure.</w:t>
      </w:r>
    </w:p>
    <w:p w:rsidR="00D8095C" w:rsidRDefault="00D8095C" w:rsidP="00330705">
      <w:pPr>
        <w:spacing w:line="200" w:lineRule="exact"/>
        <w:jc w:val="both"/>
        <w:rPr>
          <w:rFonts w:ascii="Arial"/>
          <w:b/>
          <w:color w:val="BF5A14"/>
          <w:sz w:val="20"/>
        </w:rPr>
      </w:pPr>
    </w:p>
    <w:p w:rsidR="00330705" w:rsidRDefault="00330705" w:rsidP="00330705">
      <w:pPr>
        <w:spacing w:line="200" w:lineRule="exact"/>
        <w:jc w:val="both"/>
        <w:rPr>
          <w:rFonts w:ascii="Calibri" w:hAnsi="Calibri"/>
          <w:b/>
        </w:rPr>
      </w:pPr>
      <w:r>
        <w:rPr>
          <w:rFonts w:ascii="Arial"/>
          <w:b/>
          <w:color w:val="BF5A14"/>
          <w:sz w:val="20"/>
        </w:rPr>
        <w:t>Recent Publications (minimum 5)</w:t>
      </w:r>
    </w:p>
    <w:p w:rsidR="00330705" w:rsidRPr="00FE75C5" w:rsidRDefault="00330705" w:rsidP="00EA55CC">
      <w:pPr>
        <w:pStyle w:val="Prrafodelista"/>
        <w:numPr>
          <w:ilvl w:val="0"/>
          <w:numId w:val="4"/>
        </w:numPr>
        <w:rPr>
          <w:rFonts w:ascii="Arial" w:eastAsia="Arial" w:hAnsi="Arial" w:cs="Arial"/>
          <w:bCs/>
          <w:sz w:val="20"/>
          <w:szCs w:val="20"/>
        </w:rPr>
      </w:pPr>
      <w:r w:rsidRPr="00FE75C5">
        <w:rPr>
          <w:rFonts w:ascii="Arial" w:eastAsia="Arial" w:hAnsi="Arial" w:cs="Arial"/>
          <w:bCs/>
          <w:sz w:val="20"/>
          <w:szCs w:val="20"/>
        </w:rPr>
        <w:t xml:space="preserve">Angel-Müller E, Rodríguez A, </w:t>
      </w:r>
      <w:proofErr w:type="spellStart"/>
      <w:r w:rsidRPr="00FE75C5">
        <w:rPr>
          <w:rFonts w:ascii="Arial" w:eastAsia="Arial" w:hAnsi="Arial" w:cs="Arial"/>
          <w:bCs/>
          <w:sz w:val="20"/>
          <w:szCs w:val="20"/>
        </w:rPr>
        <w:t>Núñez-Forero</w:t>
      </w:r>
      <w:proofErr w:type="spellEnd"/>
      <w:r w:rsidRPr="00FE75C5">
        <w:rPr>
          <w:rFonts w:ascii="Arial" w:eastAsia="Arial" w:hAnsi="Arial" w:cs="Arial"/>
          <w:bCs/>
          <w:sz w:val="20"/>
          <w:szCs w:val="20"/>
        </w:rPr>
        <w:t xml:space="preserve"> LM, </w:t>
      </w:r>
      <w:proofErr w:type="spellStart"/>
      <w:r w:rsidRPr="00FE75C5">
        <w:rPr>
          <w:rFonts w:ascii="Arial" w:eastAsia="Arial" w:hAnsi="Arial" w:cs="Arial"/>
          <w:bCs/>
          <w:sz w:val="20"/>
          <w:szCs w:val="20"/>
        </w:rPr>
        <w:t>Moyano</w:t>
      </w:r>
      <w:proofErr w:type="spellEnd"/>
      <w:r w:rsidRPr="00FE75C5">
        <w:rPr>
          <w:rFonts w:ascii="Arial" w:eastAsia="Arial" w:hAnsi="Arial" w:cs="Arial"/>
          <w:bCs/>
          <w:sz w:val="20"/>
          <w:szCs w:val="20"/>
        </w:rPr>
        <w:t xml:space="preserve"> LF, González P, Osorio E, et al. The prevalence of and factors associated with C. trachomatis, N. </w:t>
      </w:r>
      <w:proofErr w:type="spellStart"/>
      <w:r w:rsidRPr="00FE75C5">
        <w:rPr>
          <w:rFonts w:ascii="Arial" w:eastAsia="Arial" w:hAnsi="Arial" w:cs="Arial"/>
          <w:bCs/>
          <w:sz w:val="20"/>
          <w:szCs w:val="20"/>
        </w:rPr>
        <w:t>gonorrhoeae</w:t>
      </w:r>
      <w:proofErr w:type="spellEnd"/>
      <w:r w:rsidRPr="00FE75C5">
        <w:rPr>
          <w:rFonts w:ascii="Arial" w:eastAsia="Arial" w:hAnsi="Arial" w:cs="Arial"/>
          <w:bCs/>
          <w:sz w:val="20"/>
          <w:szCs w:val="20"/>
        </w:rPr>
        <w:t xml:space="preserve">, T. </w:t>
      </w:r>
      <w:proofErr w:type="spellStart"/>
      <w:r w:rsidRPr="00FE75C5">
        <w:rPr>
          <w:rFonts w:ascii="Arial" w:eastAsia="Arial" w:hAnsi="Arial" w:cs="Arial"/>
          <w:bCs/>
          <w:sz w:val="20"/>
          <w:szCs w:val="20"/>
        </w:rPr>
        <w:t>vaginalis</w:t>
      </w:r>
      <w:proofErr w:type="spellEnd"/>
      <w:r w:rsidRPr="00FE75C5">
        <w:rPr>
          <w:rFonts w:ascii="Arial" w:eastAsia="Arial" w:hAnsi="Arial" w:cs="Arial"/>
          <w:bCs/>
          <w:sz w:val="20"/>
          <w:szCs w:val="20"/>
        </w:rPr>
        <w:t xml:space="preserve">, C. </w:t>
      </w:r>
      <w:proofErr w:type="spellStart"/>
      <w:r w:rsidRPr="00FE75C5">
        <w:rPr>
          <w:rFonts w:ascii="Arial" w:eastAsia="Arial" w:hAnsi="Arial" w:cs="Arial"/>
          <w:bCs/>
          <w:sz w:val="20"/>
          <w:szCs w:val="20"/>
        </w:rPr>
        <w:t>albicans</w:t>
      </w:r>
      <w:proofErr w:type="spellEnd"/>
      <w:r w:rsidRPr="00FE75C5">
        <w:rPr>
          <w:rFonts w:ascii="Arial" w:eastAsia="Arial" w:hAnsi="Arial" w:cs="Arial"/>
          <w:bCs/>
          <w:sz w:val="20"/>
          <w:szCs w:val="20"/>
        </w:rPr>
        <w:t xml:space="preserve"> infection, syphilis, HIV and bacterial </w:t>
      </w:r>
      <w:proofErr w:type="spellStart"/>
      <w:r w:rsidRPr="00FE75C5">
        <w:rPr>
          <w:rFonts w:ascii="Arial" w:eastAsia="Arial" w:hAnsi="Arial" w:cs="Arial"/>
          <w:bCs/>
          <w:sz w:val="20"/>
          <w:szCs w:val="20"/>
        </w:rPr>
        <w:t>vaginosis</w:t>
      </w:r>
      <w:proofErr w:type="spellEnd"/>
      <w:r w:rsidRPr="00FE75C5">
        <w:rPr>
          <w:rFonts w:ascii="Arial" w:eastAsia="Arial" w:hAnsi="Arial" w:cs="Arial"/>
          <w:bCs/>
          <w:sz w:val="20"/>
          <w:szCs w:val="20"/>
        </w:rPr>
        <w:t xml:space="preserve"> in females suffering lower genital tract infection symptoms in three healthcare attention sites in Bogotá, Colombia, 2010. </w:t>
      </w:r>
      <w:proofErr w:type="spellStart"/>
      <w:r w:rsidRPr="00FE75C5">
        <w:rPr>
          <w:rFonts w:ascii="Arial" w:eastAsia="Arial" w:hAnsi="Arial" w:cs="Arial"/>
          <w:bCs/>
          <w:sz w:val="20"/>
          <w:szCs w:val="20"/>
        </w:rPr>
        <w:t>Revista</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Colombiana</w:t>
      </w:r>
      <w:proofErr w:type="spellEnd"/>
      <w:r w:rsidRPr="00FE75C5">
        <w:rPr>
          <w:rFonts w:ascii="Arial" w:eastAsia="Arial" w:hAnsi="Arial" w:cs="Arial"/>
          <w:bCs/>
          <w:sz w:val="20"/>
          <w:szCs w:val="20"/>
        </w:rPr>
        <w:t xml:space="preserve"> de </w:t>
      </w:r>
      <w:proofErr w:type="spellStart"/>
      <w:r w:rsidRPr="00FE75C5">
        <w:rPr>
          <w:rFonts w:ascii="Arial" w:eastAsia="Arial" w:hAnsi="Arial" w:cs="Arial"/>
          <w:bCs/>
          <w:sz w:val="20"/>
          <w:szCs w:val="20"/>
        </w:rPr>
        <w:t>Obstetricia</w:t>
      </w:r>
      <w:proofErr w:type="spellEnd"/>
      <w:r w:rsidRPr="00FE75C5">
        <w:rPr>
          <w:rFonts w:ascii="Arial" w:eastAsia="Arial" w:hAnsi="Arial" w:cs="Arial"/>
          <w:bCs/>
          <w:sz w:val="20"/>
          <w:szCs w:val="20"/>
        </w:rPr>
        <w:t xml:space="preserve"> y </w:t>
      </w:r>
      <w:proofErr w:type="spellStart"/>
      <w:r w:rsidRPr="00FE75C5">
        <w:rPr>
          <w:rFonts w:ascii="Arial" w:eastAsia="Arial" w:hAnsi="Arial" w:cs="Arial"/>
          <w:bCs/>
          <w:sz w:val="20"/>
          <w:szCs w:val="20"/>
        </w:rPr>
        <w:t>Ginecologia</w:t>
      </w:r>
      <w:proofErr w:type="spellEnd"/>
      <w:r w:rsidRPr="00FE75C5">
        <w:rPr>
          <w:rFonts w:ascii="Arial" w:eastAsia="Arial" w:hAnsi="Arial" w:cs="Arial"/>
          <w:bCs/>
          <w:sz w:val="20"/>
          <w:szCs w:val="20"/>
        </w:rPr>
        <w:t xml:space="preserve"> </w:t>
      </w:r>
      <w:r w:rsidRPr="00FE75C5">
        <w:rPr>
          <w:rFonts w:ascii="Arial" w:eastAsia="Arial" w:hAnsi="Arial" w:cs="Arial"/>
          <w:bCs/>
          <w:sz w:val="20"/>
          <w:szCs w:val="20"/>
        </w:rPr>
        <w:lastRenderedPageBreak/>
        <w:t>2012</w:t>
      </w:r>
      <w:proofErr w:type="gramStart"/>
      <w:r w:rsidRPr="00FE75C5">
        <w:rPr>
          <w:rFonts w:ascii="Arial" w:eastAsia="Arial" w:hAnsi="Arial" w:cs="Arial"/>
          <w:bCs/>
          <w:sz w:val="20"/>
          <w:szCs w:val="20"/>
        </w:rPr>
        <w:t>;63</w:t>
      </w:r>
      <w:proofErr w:type="gramEnd"/>
      <w:r w:rsidRPr="00FE75C5">
        <w:rPr>
          <w:rFonts w:ascii="Arial" w:eastAsia="Arial" w:hAnsi="Arial" w:cs="Arial"/>
          <w:bCs/>
          <w:sz w:val="20"/>
          <w:szCs w:val="20"/>
        </w:rPr>
        <w:t>(1):14-24.</w:t>
      </w:r>
    </w:p>
    <w:p w:rsidR="00330705" w:rsidRPr="00FE75C5" w:rsidRDefault="00330705" w:rsidP="00954804">
      <w:pPr>
        <w:pStyle w:val="Prrafodelista"/>
        <w:numPr>
          <w:ilvl w:val="0"/>
          <w:numId w:val="4"/>
        </w:numPr>
        <w:rPr>
          <w:rFonts w:ascii="Arial" w:eastAsia="Arial" w:hAnsi="Arial" w:cs="Arial"/>
          <w:bCs/>
          <w:sz w:val="20"/>
          <w:szCs w:val="20"/>
        </w:rPr>
      </w:pPr>
      <w:proofErr w:type="spellStart"/>
      <w:r w:rsidRPr="00FE75C5">
        <w:rPr>
          <w:rFonts w:ascii="Arial" w:eastAsia="Arial" w:hAnsi="Arial" w:cs="Arial"/>
          <w:bCs/>
          <w:sz w:val="20"/>
          <w:szCs w:val="20"/>
        </w:rPr>
        <w:t>Bakken</w:t>
      </w:r>
      <w:proofErr w:type="spellEnd"/>
      <w:r w:rsidRPr="00FE75C5">
        <w:rPr>
          <w:rFonts w:ascii="Arial" w:eastAsia="Arial" w:hAnsi="Arial" w:cs="Arial"/>
          <w:bCs/>
          <w:sz w:val="20"/>
          <w:szCs w:val="20"/>
        </w:rPr>
        <w:t xml:space="preserve"> IJ, </w:t>
      </w:r>
      <w:proofErr w:type="spellStart"/>
      <w:r w:rsidRPr="00FE75C5">
        <w:rPr>
          <w:rFonts w:ascii="Arial" w:eastAsia="Arial" w:hAnsi="Arial" w:cs="Arial"/>
          <w:bCs/>
          <w:sz w:val="20"/>
          <w:szCs w:val="20"/>
        </w:rPr>
        <w:t>Skjeldestad</w:t>
      </w:r>
      <w:proofErr w:type="spellEnd"/>
      <w:r w:rsidRPr="00FE75C5">
        <w:rPr>
          <w:rFonts w:ascii="Arial" w:eastAsia="Arial" w:hAnsi="Arial" w:cs="Arial"/>
          <w:bCs/>
          <w:sz w:val="20"/>
          <w:szCs w:val="20"/>
        </w:rPr>
        <w:t xml:space="preserve"> FE, </w:t>
      </w:r>
      <w:proofErr w:type="spellStart"/>
      <w:r w:rsidRPr="00FE75C5">
        <w:rPr>
          <w:rFonts w:ascii="Arial" w:eastAsia="Arial" w:hAnsi="Arial" w:cs="Arial"/>
          <w:bCs/>
          <w:sz w:val="20"/>
          <w:szCs w:val="20"/>
        </w:rPr>
        <w:t>Nordbø</w:t>
      </w:r>
      <w:proofErr w:type="spellEnd"/>
      <w:r w:rsidRPr="00FE75C5">
        <w:rPr>
          <w:rFonts w:ascii="Arial" w:eastAsia="Arial" w:hAnsi="Arial" w:cs="Arial"/>
          <w:bCs/>
          <w:sz w:val="20"/>
          <w:szCs w:val="20"/>
        </w:rPr>
        <w:t xml:space="preserve"> SA. Chlamydia trachomatis infections increase the risk for ectopic pregnancy: a population-based, nested case-control study. Sexually Transmitted Diseases 2007</w:t>
      </w:r>
      <w:proofErr w:type="gramStart"/>
      <w:r w:rsidRPr="00FE75C5">
        <w:rPr>
          <w:rFonts w:ascii="Arial" w:eastAsia="Arial" w:hAnsi="Arial" w:cs="Arial"/>
          <w:bCs/>
          <w:sz w:val="20"/>
          <w:szCs w:val="20"/>
        </w:rPr>
        <w:t>;34</w:t>
      </w:r>
      <w:proofErr w:type="gramEnd"/>
      <w:r w:rsidRPr="00FE75C5">
        <w:rPr>
          <w:rFonts w:ascii="Arial" w:eastAsia="Arial" w:hAnsi="Arial" w:cs="Arial"/>
          <w:bCs/>
          <w:sz w:val="20"/>
          <w:szCs w:val="20"/>
        </w:rPr>
        <w:t>(3):166-9.</w:t>
      </w:r>
    </w:p>
    <w:p w:rsidR="00330705" w:rsidRPr="00FE75C5" w:rsidRDefault="00330705" w:rsidP="006968BA">
      <w:pPr>
        <w:pStyle w:val="Prrafodelista"/>
        <w:numPr>
          <w:ilvl w:val="0"/>
          <w:numId w:val="4"/>
        </w:numPr>
        <w:rPr>
          <w:rFonts w:ascii="Arial" w:eastAsia="Arial" w:hAnsi="Arial" w:cs="Arial"/>
          <w:bCs/>
          <w:sz w:val="20"/>
          <w:szCs w:val="20"/>
        </w:rPr>
      </w:pPr>
      <w:r w:rsidRPr="00FE75C5">
        <w:rPr>
          <w:rFonts w:ascii="Arial" w:eastAsia="Arial" w:hAnsi="Arial" w:cs="Arial"/>
          <w:bCs/>
          <w:sz w:val="20"/>
          <w:szCs w:val="20"/>
        </w:rPr>
        <w:t xml:space="preserve">Barbosa MJ, </w:t>
      </w:r>
      <w:proofErr w:type="spellStart"/>
      <w:r w:rsidRPr="00FE75C5">
        <w:rPr>
          <w:rFonts w:ascii="Arial" w:eastAsia="Arial" w:hAnsi="Arial" w:cs="Arial"/>
          <w:bCs/>
          <w:sz w:val="20"/>
          <w:szCs w:val="20"/>
        </w:rPr>
        <w:t>Moherdaui</w:t>
      </w:r>
      <w:proofErr w:type="spellEnd"/>
      <w:r w:rsidRPr="00FE75C5">
        <w:rPr>
          <w:rFonts w:ascii="Arial" w:eastAsia="Arial" w:hAnsi="Arial" w:cs="Arial"/>
          <w:bCs/>
          <w:sz w:val="20"/>
          <w:szCs w:val="20"/>
        </w:rPr>
        <w:t xml:space="preserve"> F, Pinto VM, </w:t>
      </w:r>
      <w:proofErr w:type="spellStart"/>
      <w:r w:rsidRPr="00FE75C5">
        <w:rPr>
          <w:rFonts w:ascii="Arial" w:eastAsia="Arial" w:hAnsi="Arial" w:cs="Arial"/>
          <w:bCs/>
          <w:sz w:val="20"/>
          <w:szCs w:val="20"/>
        </w:rPr>
        <w:t>Ribeiro</w:t>
      </w:r>
      <w:proofErr w:type="spellEnd"/>
      <w:r w:rsidRPr="00FE75C5">
        <w:rPr>
          <w:rFonts w:ascii="Arial" w:eastAsia="Arial" w:hAnsi="Arial" w:cs="Arial"/>
          <w:bCs/>
          <w:sz w:val="20"/>
          <w:szCs w:val="20"/>
        </w:rPr>
        <w:t xml:space="preserve"> D, </w:t>
      </w:r>
      <w:proofErr w:type="spellStart"/>
      <w:r w:rsidRPr="00FE75C5">
        <w:rPr>
          <w:rFonts w:ascii="Arial" w:eastAsia="Arial" w:hAnsi="Arial" w:cs="Arial"/>
          <w:bCs/>
          <w:sz w:val="20"/>
          <w:szCs w:val="20"/>
        </w:rPr>
        <w:t>Cleuton</w:t>
      </w:r>
      <w:proofErr w:type="spellEnd"/>
      <w:r w:rsidRPr="00FE75C5">
        <w:rPr>
          <w:rFonts w:ascii="Arial" w:eastAsia="Arial" w:hAnsi="Arial" w:cs="Arial"/>
          <w:bCs/>
          <w:sz w:val="20"/>
          <w:szCs w:val="20"/>
        </w:rPr>
        <w:t xml:space="preserve"> M, Miranda AE. Prevalence of Neisseria </w:t>
      </w:r>
      <w:proofErr w:type="spellStart"/>
      <w:r w:rsidRPr="00FE75C5">
        <w:rPr>
          <w:rFonts w:ascii="Arial" w:eastAsia="Arial" w:hAnsi="Arial" w:cs="Arial"/>
          <w:bCs/>
          <w:sz w:val="20"/>
          <w:szCs w:val="20"/>
        </w:rPr>
        <w:t>gonorrhoeae</w:t>
      </w:r>
      <w:proofErr w:type="spellEnd"/>
      <w:r w:rsidRPr="00FE75C5">
        <w:rPr>
          <w:rFonts w:ascii="Arial" w:eastAsia="Arial" w:hAnsi="Arial" w:cs="Arial"/>
          <w:bCs/>
          <w:sz w:val="20"/>
          <w:szCs w:val="20"/>
        </w:rPr>
        <w:t xml:space="preserve"> and Chlamydia trachomatis infection in men attending STD clinics in Brazil [</w:t>
      </w:r>
      <w:proofErr w:type="spellStart"/>
      <w:r w:rsidRPr="00FE75C5">
        <w:rPr>
          <w:rFonts w:ascii="Arial" w:eastAsia="Arial" w:hAnsi="Arial" w:cs="Arial"/>
          <w:bCs/>
          <w:sz w:val="20"/>
          <w:szCs w:val="20"/>
        </w:rPr>
        <w:t>Prevalência</w:t>
      </w:r>
      <w:proofErr w:type="spellEnd"/>
      <w:r w:rsidRPr="00FE75C5">
        <w:rPr>
          <w:rFonts w:ascii="Arial" w:eastAsia="Arial" w:hAnsi="Arial" w:cs="Arial"/>
          <w:bCs/>
          <w:sz w:val="20"/>
          <w:szCs w:val="20"/>
        </w:rPr>
        <w:t xml:space="preserve"> de Neisseria </w:t>
      </w:r>
      <w:proofErr w:type="spellStart"/>
      <w:r w:rsidRPr="00FE75C5">
        <w:rPr>
          <w:rFonts w:ascii="Arial" w:eastAsia="Arial" w:hAnsi="Arial" w:cs="Arial"/>
          <w:bCs/>
          <w:sz w:val="20"/>
          <w:szCs w:val="20"/>
        </w:rPr>
        <w:t>gonorrhoeae</w:t>
      </w:r>
      <w:proofErr w:type="spellEnd"/>
      <w:r w:rsidRPr="00FE75C5">
        <w:rPr>
          <w:rFonts w:ascii="Arial" w:eastAsia="Arial" w:hAnsi="Arial" w:cs="Arial"/>
          <w:bCs/>
          <w:sz w:val="20"/>
          <w:szCs w:val="20"/>
        </w:rPr>
        <w:t xml:space="preserve"> e </w:t>
      </w:r>
      <w:proofErr w:type="spellStart"/>
      <w:r w:rsidRPr="00FE75C5">
        <w:rPr>
          <w:rFonts w:ascii="Arial" w:eastAsia="Arial" w:hAnsi="Arial" w:cs="Arial"/>
          <w:bCs/>
          <w:sz w:val="20"/>
          <w:szCs w:val="20"/>
        </w:rPr>
        <w:t>infecção</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pela</w:t>
      </w:r>
      <w:proofErr w:type="spellEnd"/>
      <w:r w:rsidRPr="00FE75C5">
        <w:rPr>
          <w:rFonts w:ascii="Arial" w:eastAsia="Arial" w:hAnsi="Arial" w:cs="Arial"/>
          <w:bCs/>
          <w:sz w:val="20"/>
          <w:szCs w:val="20"/>
        </w:rPr>
        <w:t xml:space="preserve"> Chlamydia trachomatis </w:t>
      </w:r>
      <w:proofErr w:type="spellStart"/>
      <w:r w:rsidRPr="00FE75C5">
        <w:rPr>
          <w:rFonts w:ascii="Arial" w:eastAsia="Arial" w:hAnsi="Arial" w:cs="Arial"/>
          <w:bCs/>
          <w:sz w:val="20"/>
          <w:szCs w:val="20"/>
        </w:rPr>
        <w:t>em</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homens</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atendidos</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em</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clínicas</w:t>
      </w:r>
      <w:proofErr w:type="spellEnd"/>
      <w:r w:rsidRPr="00FE75C5">
        <w:rPr>
          <w:rFonts w:ascii="Arial" w:eastAsia="Arial" w:hAnsi="Arial" w:cs="Arial"/>
          <w:bCs/>
          <w:sz w:val="20"/>
          <w:szCs w:val="20"/>
        </w:rPr>
        <w:t xml:space="preserve"> de DST no </w:t>
      </w:r>
      <w:proofErr w:type="spellStart"/>
      <w:r w:rsidRPr="00FE75C5">
        <w:rPr>
          <w:rFonts w:ascii="Arial" w:eastAsia="Arial" w:hAnsi="Arial" w:cs="Arial"/>
          <w:bCs/>
          <w:sz w:val="20"/>
          <w:szCs w:val="20"/>
        </w:rPr>
        <w:t>Brasil</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Revista</w:t>
      </w:r>
      <w:proofErr w:type="spellEnd"/>
      <w:r w:rsidRPr="00FE75C5">
        <w:rPr>
          <w:rFonts w:ascii="Arial" w:eastAsia="Arial" w:hAnsi="Arial" w:cs="Arial"/>
          <w:bCs/>
          <w:sz w:val="20"/>
          <w:szCs w:val="20"/>
        </w:rPr>
        <w:t xml:space="preserve"> da </w:t>
      </w:r>
      <w:proofErr w:type="spellStart"/>
      <w:r w:rsidRPr="00FE75C5">
        <w:rPr>
          <w:rFonts w:ascii="Arial" w:eastAsia="Arial" w:hAnsi="Arial" w:cs="Arial"/>
          <w:bCs/>
          <w:sz w:val="20"/>
          <w:szCs w:val="20"/>
        </w:rPr>
        <w:t>Sociedade</w:t>
      </w:r>
      <w:proofErr w:type="spellEnd"/>
      <w:r w:rsidRPr="00FE75C5">
        <w:rPr>
          <w:rFonts w:ascii="Arial" w:eastAsia="Arial" w:hAnsi="Arial" w:cs="Arial"/>
          <w:bCs/>
          <w:sz w:val="20"/>
          <w:szCs w:val="20"/>
        </w:rPr>
        <w:t xml:space="preserve"> </w:t>
      </w:r>
      <w:proofErr w:type="spellStart"/>
      <w:r w:rsidRPr="00FE75C5">
        <w:rPr>
          <w:rFonts w:ascii="Arial" w:eastAsia="Arial" w:hAnsi="Arial" w:cs="Arial"/>
          <w:bCs/>
          <w:sz w:val="20"/>
          <w:szCs w:val="20"/>
        </w:rPr>
        <w:t>Brasileira</w:t>
      </w:r>
      <w:proofErr w:type="spellEnd"/>
      <w:r w:rsidRPr="00FE75C5">
        <w:rPr>
          <w:rFonts w:ascii="Arial" w:eastAsia="Arial" w:hAnsi="Arial" w:cs="Arial"/>
          <w:bCs/>
          <w:sz w:val="20"/>
          <w:szCs w:val="20"/>
        </w:rPr>
        <w:t xml:space="preserve"> de </w:t>
      </w:r>
      <w:proofErr w:type="spellStart"/>
      <w:r w:rsidRPr="00FE75C5">
        <w:rPr>
          <w:rFonts w:ascii="Arial" w:eastAsia="Arial" w:hAnsi="Arial" w:cs="Arial"/>
          <w:bCs/>
          <w:sz w:val="20"/>
          <w:szCs w:val="20"/>
        </w:rPr>
        <w:t>M</w:t>
      </w:r>
      <w:r w:rsidR="00FE75C5">
        <w:rPr>
          <w:rFonts w:ascii="Arial" w:eastAsia="Arial" w:hAnsi="Arial" w:cs="Arial"/>
          <w:bCs/>
          <w:sz w:val="20"/>
          <w:szCs w:val="20"/>
        </w:rPr>
        <w:t>edicina</w:t>
      </w:r>
      <w:proofErr w:type="spellEnd"/>
      <w:r w:rsidR="00FE75C5">
        <w:rPr>
          <w:rFonts w:ascii="Arial" w:eastAsia="Arial" w:hAnsi="Arial" w:cs="Arial"/>
          <w:bCs/>
          <w:sz w:val="20"/>
          <w:szCs w:val="20"/>
        </w:rPr>
        <w:t xml:space="preserve"> Tropical 2010;43(5):500</w:t>
      </w:r>
    </w:p>
    <w:p w:rsidR="00330705" w:rsidRPr="00FE75C5" w:rsidRDefault="00330705" w:rsidP="002A7D29">
      <w:pPr>
        <w:pStyle w:val="Prrafodelista"/>
        <w:numPr>
          <w:ilvl w:val="0"/>
          <w:numId w:val="4"/>
        </w:numPr>
        <w:rPr>
          <w:rFonts w:ascii="Arial" w:eastAsia="Arial" w:hAnsi="Arial" w:cs="Arial"/>
          <w:bCs/>
          <w:sz w:val="20"/>
          <w:szCs w:val="20"/>
        </w:rPr>
      </w:pPr>
      <w:r w:rsidRPr="00FE75C5">
        <w:rPr>
          <w:rFonts w:ascii="Arial" w:eastAsia="Arial" w:hAnsi="Arial" w:cs="Arial"/>
          <w:bCs/>
          <w:sz w:val="20"/>
          <w:szCs w:val="20"/>
        </w:rPr>
        <w:lastRenderedPageBreak/>
        <w:t xml:space="preserve">Blanchard A, </w:t>
      </w:r>
      <w:proofErr w:type="spellStart"/>
      <w:r w:rsidRPr="00FE75C5">
        <w:rPr>
          <w:rFonts w:ascii="Arial" w:eastAsia="Arial" w:hAnsi="Arial" w:cs="Arial"/>
          <w:bCs/>
          <w:sz w:val="20"/>
          <w:szCs w:val="20"/>
        </w:rPr>
        <w:t>Bébéar</w:t>
      </w:r>
      <w:proofErr w:type="spellEnd"/>
      <w:r w:rsidRPr="00FE75C5">
        <w:rPr>
          <w:rFonts w:ascii="Arial" w:eastAsia="Arial" w:hAnsi="Arial" w:cs="Arial"/>
          <w:bCs/>
          <w:sz w:val="20"/>
          <w:szCs w:val="20"/>
        </w:rPr>
        <w:t xml:space="preserve"> C. The evolution of Mycoplasma </w:t>
      </w:r>
      <w:proofErr w:type="spellStart"/>
      <w:r w:rsidRPr="00FE75C5">
        <w:rPr>
          <w:rFonts w:ascii="Arial" w:eastAsia="Arial" w:hAnsi="Arial" w:cs="Arial"/>
          <w:bCs/>
          <w:sz w:val="20"/>
          <w:szCs w:val="20"/>
        </w:rPr>
        <w:t>genitalium</w:t>
      </w:r>
      <w:proofErr w:type="spellEnd"/>
      <w:r w:rsidRPr="00FE75C5">
        <w:rPr>
          <w:rFonts w:ascii="Arial" w:eastAsia="Arial" w:hAnsi="Arial" w:cs="Arial"/>
          <w:bCs/>
          <w:sz w:val="20"/>
          <w:szCs w:val="20"/>
        </w:rPr>
        <w:t>. Annals of the New York Academy of Sciences 2011</w:t>
      </w:r>
      <w:proofErr w:type="gramStart"/>
      <w:r w:rsidRPr="00FE75C5">
        <w:rPr>
          <w:rFonts w:ascii="Arial" w:eastAsia="Arial" w:hAnsi="Arial" w:cs="Arial"/>
          <w:bCs/>
          <w:sz w:val="20"/>
          <w:szCs w:val="20"/>
        </w:rPr>
        <w:t>;1230</w:t>
      </w:r>
      <w:proofErr w:type="gramEnd"/>
      <w:r w:rsidRPr="00FE75C5">
        <w:rPr>
          <w:rFonts w:ascii="Arial" w:eastAsia="Arial" w:hAnsi="Arial" w:cs="Arial"/>
          <w:bCs/>
          <w:sz w:val="20"/>
          <w:szCs w:val="20"/>
        </w:rPr>
        <w:t>(1):E61-4.</w:t>
      </w:r>
    </w:p>
    <w:p w:rsidR="00330705" w:rsidRPr="00D8095C" w:rsidRDefault="00330705" w:rsidP="00330705">
      <w:pPr>
        <w:pStyle w:val="Prrafodelista"/>
        <w:numPr>
          <w:ilvl w:val="0"/>
          <w:numId w:val="4"/>
        </w:numPr>
        <w:rPr>
          <w:rFonts w:ascii="Arial" w:eastAsia="Arial" w:hAnsi="Arial" w:cs="Arial"/>
          <w:bCs/>
          <w:sz w:val="20"/>
          <w:szCs w:val="20"/>
        </w:rPr>
      </w:pPr>
      <w:r w:rsidRPr="00D8095C">
        <w:rPr>
          <w:rFonts w:ascii="Arial" w:eastAsia="Arial" w:hAnsi="Arial" w:cs="Arial"/>
          <w:bCs/>
          <w:sz w:val="20"/>
          <w:szCs w:val="20"/>
        </w:rPr>
        <w:t>Public Health Agency of Canada. Canadian Guidelines on Sexually Transmitted Infections. www.canada.ca/en/public-health/services/infectious-diseases/sexual-health-sexually-transmitted-infections/canadian-guidelines/sexually-transmitted-infections.html 2016</w:t>
      </w:r>
      <w:proofErr w:type="gramStart"/>
      <w:r w:rsidRPr="00D8095C">
        <w:rPr>
          <w:rFonts w:ascii="Arial" w:eastAsia="Arial" w:hAnsi="Arial" w:cs="Arial"/>
          <w:bCs/>
          <w:sz w:val="20"/>
          <w:szCs w:val="20"/>
        </w:rPr>
        <w:t>;1:1</w:t>
      </w:r>
      <w:proofErr w:type="gramEnd"/>
      <w:r w:rsidRPr="00D8095C">
        <w:rPr>
          <w:rFonts w:ascii="Arial" w:eastAsia="Arial" w:hAnsi="Arial" w:cs="Arial"/>
          <w:bCs/>
          <w:sz w:val="20"/>
          <w:szCs w:val="20"/>
        </w:rPr>
        <w:t>.</w:t>
      </w:r>
    </w:p>
    <w:p w:rsidR="00330705" w:rsidRPr="00330705" w:rsidRDefault="00330705" w:rsidP="00330705">
      <w:pPr>
        <w:spacing w:line="200" w:lineRule="exact"/>
        <w:jc w:val="both"/>
        <w:rPr>
          <w:rFonts w:ascii="Calibri" w:hAnsi="Calibri"/>
          <w:b/>
        </w:rPr>
      </w:pPr>
    </w:p>
    <w:p w:rsidR="00D8095C" w:rsidRDefault="00D62425">
      <w:pPr>
        <w:pStyle w:val="Textoindependiente"/>
        <w:rPr>
          <w:rFonts w:ascii="Calibri"/>
          <w:sz w:val="20"/>
        </w:rPr>
        <w:sectPr w:rsidR="00D8095C" w:rsidSect="00D8095C">
          <w:type w:val="continuous"/>
          <w:pgSz w:w="11910" w:h="16840"/>
          <w:pgMar w:top="1740" w:right="600" w:bottom="840" w:left="620" w:header="720" w:footer="720" w:gutter="0"/>
          <w:cols w:num="2" w:space="720"/>
        </w:sectPr>
      </w:pPr>
      <w:r>
        <w:rPr>
          <w:rFonts w:ascii="Calibri"/>
          <w:sz w:val="20"/>
        </w:rPr>
        <w:t xml:space="preserve">              </w:t>
      </w:r>
    </w:p>
    <w:p w:rsidR="00D8095C" w:rsidRDefault="00D62425">
      <w:pPr>
        <w:pStyle w:val="Textoindependiente"/>
        <w:rPr>
          <w:rFonts w:ascii="Calibri"/>
          <w:sz w:val="20"/>
        </w:rPr>
      </w:pPr>
      <w:r>
        <w:rPr>
          <w:rFonts w:ascii="Calibri"/>
          <w:sz w:val="20"/>
        </w:rPr>
        <w:lastRenderedPageBreak/>
        <w:t xml:space="preserve">  </w:t>
      </w:r>
    </w:p>
    <w:p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920B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D8095C">
        <w:rPr>
          <w:noProof/>
          <w:lang w:val="es-CO" w:eastAsia="es-CO"/>
        </w:rPr>
        <w:drawing>
          <wp:inline distT="0" distB="0" distL="0" distR="0">
            <wp:extent cx="767976" cy="933450"/>
            <wp:effectExtent l="0" t="0" r="0" b="0"/>
            <wp:docPr id="12" name="Imagen 12" descr="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5969" cy="955320"/>
                    </a:xfrm>
                    <a:prstGeom prst="rect">
                      <a:avLst/>
                    </a:prstGeom>
                    <a:noFill/>
                    <a:ln>
                      <a:noFill/>
                    </a:ln>
                  </pic:spPr>
                </pic:pic>
              </a:graphicData>
            </a:graphic>
          </wp:inline>
        </w:drawing>
      </w:r>
      <w:r w:rsidR="00D8095C">
        <w:rPr>
          <w:noProof/>
          <w:lang w:val="es-CO" w:eastAsia="es-CO"/>
        </w:rPr>
        <w:t xml:space="preserve"> </w:t>
      </w:r>
      <w:r w:rsidR="00A9710C">
        <w:rPr>
          <w:rFonts w:ascii="Arial"/>
          <w:color w:val="BF5A14"/>
        </w:rPr>
        <w:t>Biography</w:t>
      </w:r>
      <w:r w:rsidR="00404E5B">
        <w:rPr>
          <w:rFonts w:ascii="Arial"/>
          <w:color w:val="BF5A14"/>
        </w:rPr>
        <w:t xml:space="preserve"> (150 word limit)</w:t>
      </w:r>
    </w:p>
    <w:p w:rsidR="00D8095C" w:rsidRDefault="00D8095C" w:rsidP="00D8095C">
      <w:pPr>
        <w:rPr>
          <w:rFonts w:ascii="Arial"/>
        </w:rPr>
      </w:pPr>
      <w:r w:rsidRPr="00D8095C">
        <w:t xml:space="preserve">Medical </w:t>
      </w:r>
      <w:r w:rsidR="0004416B">
        <w:t>Doctor</w:t>
      </w:r>
      <w:r w:rsidRPr="00D8095C">
        <w:t xml:space="preserve"> graduated from the National University of</w:t>
      </w:r>
      <w:r>
        <w:t xml:space="preserve"> </w:t>
      </w:r>
      <w:r w:rsidRPr="00D8095C">
        <w:t>Colombia. Master's Degre</w:t>
      </w:r>
      <w:r>
        <w:t xml:space="preserve">e in Clinical Epidemiology from </w:t>
      </w:r>
      <w:r w:rsidRPr="00D8095C">
        <w:t>the National University of Colombia. With an interest in statistical analysis of clinical studies and systematic reviews. Currently he is an assistant instructor in the Research Division. Link</w:t>
      </w:r>
      <w:bookmarkStart w:id="0" w:name="_GoBack"/>
      <w:bookmarkEnd w:id="0"/>
      <w:r w:rsidRPr="00D8095C">
        <w:t>ed to the FUCS since May 2016.</w:t>
      </w:r>
    </w:p>
    <w:p w:rsidR="00D8095C" w:rsidRDefault="00A9710C" w:rsidP="00D8095C">
      <w:pPr>
        <w:spacing w:before="62"/>
        <w:ind w:left="4217" w:right="4235"/>
        <w:jc w:val="center"/>
        <w:rPr>
          <w:rFonts w:ascii="Arial"/>
          <w:sz w:val="19"/>
        </w:rPr>
      </w:pPr>
      <w:r>
        <w:rPr>
          <w:rFonts w:ascii="Arial"/>
          <w:sz w:val="14"/>
        </w:rPr>
        <w:t xml:space="preserve">Email: </w:t>
      </w:r>
      <w:hyperlink r:id="rId12" w:history="1">
        <w:r w:rsidR="0093069E" w:rsidRPr="002B47EE">
          <w:rPr>
            <w:rStyle w:val="Hipervnculo"/>
            <w:rFonts w:ascii="Arial"/>
            <w:sz w:val="14"/>
          </w:rPr>
          <w:t>jpalzategr@fucsalud.edu.co</w:t>
        </w:r>
      </w:hyperlink>
      <w:r w:rsidR="00292ED9">
        <w:rPr>
          <w:noProof/>
          <w:lang w:val="es-CO" w:eastAsia="es-CO"/>
        </w:rPr>
        <mc:AlternateContent>
          <mc:Choice Requires="wps">
            <w:drawing>
              <wp:anchor distT="0" distB="0" distL="0" distR="0" simplePos="0" relativeHeight="2516433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A1953" id="Line 3"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8095C" w:rsidRDefault="00A9710C" w:rsidP="00D8095C">
      <w:pPr>
        <w:spacing w:before="62"/>
        <w:ind w:left="4217" w:right="4235"/>
        <w:jc w:val="center"/>
        <w:rPr>
          <w:rFonts w:ascii="Arial"/>
          <w:sz w:val="19"/>
        </w:rPr>
        <w:sectPr w:rsidR="00AE3E37" w:rsidRPr="00D8095C" w:rsidSect="00D8095C">
          <w:type w:val="continuous"/>
          <w:pgSz w:w="11910" w:h="16840"/>
          <w:pgMar w:top="1740" w:right="600" w:bottom="840" w:left="620" w:header="720" w:footer="720" w:gutter="0"/>
          <w:cols w:space="720"/>
        </w:sectPr>
      </w:pPr>
      <w:r w:rsidRPr="00B21A57">
        <w:rPr>
          <w:rFonts w:ascii="Minion Pro"/>
          <w:b/>
          <w:sz w:val="20"/>
        </w:rPr>
        <w:t>Notes/Comments:</w:t>
      </w:r>
    </w:p>
    <w:p w:rsidR="00D8095C" w:rsidRDefault="00D8095C">
      <w:pPr>
        <w:pStyle w:val="Textoindependiente"/>
        <w:spacing w:before="3"/>
        <w:rPr>
          <w:rFonts w:ascii="Minion Pro"/>
          <w:sz w:val="26"/>
        </w:rPr>
        <w:sectPr w:rsidR="00D8095C" w:rsidSect="00CD6F55">
          <w:type w:val="continuous"/>
          <w:pgSz w:w="11910" w:h="16840"/>
          <w:pgMar w:top="1740" w:right="580" w:bottom="840" w:left="620" w:header="720" w:footer="720" w:gutter="0"/>
          <w:cols w:num="2" w:space="720" w:equalWidth="0">
            <w:col w:w="5214" w:space="138"/>
            <w:col w:w="5358"/>
          </w:cols>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DAB" w:rsidRDefault="00474DAB">
      <w:r>
        <w:separator/>
      </w:r>
    </w:p>
  </w:endnote>
  <w:endnote w:type="continuationSeparator" w:id="0">
    <w:p w:rsidR="00474DAB" w:rsidRDefault="0047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DAB" w:rsidRDefault="00474DAB">
      <w:r>
        <w:separator/>
      </w:r>
    </w:p>
  </w:footnote>
  <w:footnote w:type="continuationSeparator" w:id="0">
    <w:p w:rsidR="00474DAB" w:rsidRDefault="00474D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3069E" w:rsidRDefault="00A9710C">
                          <w:pPr>
                            <w:spacing w:before="2" w:line="249" w:lineRule="auto"/>
                            <w:ind w:left="156" w:right="18" w:hanging="137"/>
                            <w:rPr>
                              <w:rFonts w:ascii="Arial"/>
                              <w:color w:val="FFFFFF" w:themeColor="background1"/>
                              <w:sz w:val="14"/>
                            </w:rPr>
                          </w:pPr>
                          <w:r w:rsidRPr="0093069E">
                            <w:rPr>
                              <w:rFonts w:ascii="Arial"/>
                              <w:color w:val="FFFFFF" w:themeColor="background1"/>
                              <w:sz w:val="14"/>
                            </w:rPr>
                            <w:t xml:space="preserve">T </w:t>
                          </w:r>
                          <w:proofErr w:type="spellStart"/>
                          <w:r w:rsidRPr="0093069E">
                            <w:rPr>
                              <w:rFonts w:ascii="Arial"/>
                              <w:color w:val="FFFFFF" w:themeColor="background1"/>
                              <w:sz w:val="14"/>
                            </w:rPr>
                            <w:t>Furuta</w:t>
                          </w:r>
                          <w:proofErr w:type="spellEnd"/>
                          <w:r w:rsidRPr="0093069E">
                            <w:rPr>
                              <w:rFonts w:ascii="Arial"/>
                              <w:color w:val="FFFFFF" w:themeColor="background1"/>
                              <w:sz w:val="14"/>
                            </w:rPr>
                            <w:t xml:space="preserve"> et al., J </w:t>
                          </w:r>
                          <w:proofErr w:type="spellStart"/>
                          <w:r w:rsidRPr="0093069E">
                            <w:rPr>
                              <w:rFonts w:ascii="Arial"/>
                              <w:color w:val="FFFFFF" w:themeColor="background1"/>
                              <w:sz w:val="14"/>
                            </w:rPr>
                            <w:t>Pai</w:t>
                          </w:r>
                          <w:proofErr w:type="spellEnd"/>
                          <w:r w:rsidRPr="0093069E">
                            <w:rPr>
                              <w:rFonts w:ascii="Arial"/>
                              <w:color w:val="FFFFFF" w:themeColor="background1"/>
                              <w:sz w:val="14"/>
                            </w:rPr>
                            <w:t xml:space="preserve"> n Relief 2016, 5:3(</w:t>
                          </w:r>
                          <w:proofErr w:type="spellStart"/>
                          <w:r w:rsidRPr="0093069E">
                            <w:rPr>
                              <w:rFonts w:ascii="Arial"/>
                              <w:color w:val="FFFFFF" w:themeColor="background1"/>
                              <w:sz w:val="14"/>
                            </w:rPr>
                            <w:t>Suppl</w:t>
                          </w:r>
                          <w:proofErr w:type="spellEnd"/>
                          <w:r w:rsidRPr="0093069E">
                            <w:rPr>
                              <w:rFonts w:ascii="Arial"/>
                              <w:color w:val="FFFFFF" w:themeColor="background1"/>
                              <w:sz w:val="14"/>
                            </w:rPr>
                            <w:t xml:space="preserve">) </w:t>
                          </w:r>
                          <w:hyperlink r:id="rId1">
                            <w:r w:rsidRPr="0093069E">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3069E" w:rsidRDefault="00A9710C">
                    <w:pPr>
                      <w:spacing w:before="2" w:line="249" w:lineRule="auto"/>
                      <w:ind w:left="156" w:right="18" w:hanging="137"/>
                      <w:rPr>
                        <w:rFonts w:ascii="Arial"/>
                        <w:color w:val="FFFFFF" w:themeColor="background1"/>
                        <w:sz w:val="14"/>
                      </w:rPr>
                    </w:pPr>
                    <w:r w:rsidRPr="0093069E">
                      <w:rPr>
                        <w:rFonts w:ascii="Arial"/>
                        <w:color w:val="FFFFFF" w:themeColor="background1"/>
                        <w:sz w:val="14"/>
                      </w:rPr>
                      <w:t xml:space="preserve">T </w:t>
                    </w:r>
                    <w:proofErr w:type="spellStart"/>
                    <w:r w:rsidRPr="0093069E">
                      <w:rPr>
                        <w:rFonts w:ascii="Arial"/>
                        <w:color w:val="FFFFFF" w:themeColor="background1"/>
                        <w:sz w:val="14"/>
                      </w:rPr>
                      <w:t>Furuta</w:t>
                    </w:r>
                    <w:proofErr w:type="spellEnd"/>
                    <w:r w:rsidRPr="0093069E">
                      <w:rPr>
                        <w:rFonts w:ascii="Arial"/>
                        <w:color w:val="FFFFFF" w:themeColor="background1"/>
                        <w:sz w:val="14"/>
                      </w:rPr>
                      <w:t xml:space="preserve"> et al., J </w:t>
                    </w:r>
                    <w:proofErr w:type="spellStart"/>
                    <w:r w:rsidRPr="0093069E">
                      <w:rPr>
                        <w:rFonts w:ascii="Arial"/>
                        <w:color w:val="FFFFFF" w:themeColor="background1"/>
                        <w:sz w:val="14"/>
                      </w:rPr>
                      <w:t>Pai</w:t>
                    </w:r>
                    <w:proofErr w:type="spellEnd"/>
                    <w:r w:rsidRPr="0093069E">
                      <w:rPr>
                        <w:rFonts w:ascii="Arial"/>
                        <w:color w:val="FFFFFF" w:themeColor="background1"/>
                        <w:sz w:val="14"/>
                      </w:rPr>
                      <w:t xml:space="preserve"> n Relief 2016, 5:3(</w:t>
                    </w:r>
                    <w:proofErr w:type="spellStart"/>
                    <w:r w:rsidRPr="0093069E">
                      <w:rPr>
                        <w:rFonts w:ascii="Arial"/>
                        <w:color w:val="FFFFFF" w:themeColor="background1"/>
                        <w:sz w:val="14"/>
                      </w:rPr>
                      <w:t>Suppl</w:t>
                    </w:r>
                    <w:proofErr w:type="spellEnd"/>
                    <w:r w:rsidRPr="0093069E">
                      <w:rPr>
                        <w:rFonts w:ascii="Arial"/>
                        <w:color w:val="FFFFFF" w:themeColor="background1"/>
                        <w:sz w:val="14"/>
                      </w:rPr>
                      <w:t xml:space="preserve">) </w:t>
                    </w:r>
                    <w:hyperlink r:id="rId2">
                      <w:r w:rsidRPr="0093069E">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A35A3"/>
    <w:multiLevelType w:val="hybridMultilevel"/>
    <w:tmpl w:val="C2A82B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16B"/>
    <w:rsid w:val="000E2911"/>
    <w:rsid w:val="001263DF"/>
    <w:rsid w:val="001E763C"/>
    <w:rsid w:val="00292ED9"/>
    <w:rsid w:val="00314AFB"/>
    <w:rsid w:val="00330705"/>
    <w:rsid w:val="003B76D9"/>
    <w:rsid w:val="00404E5B"/>
    <w:rsid w:val="00414F7B"/>
    <w:rsid w:val="004355DC"/>
    <w:rsid w:val="004749B4"/>
    <w:rsid w:val="00474DAB"/>
    <w:rsid w:val="00494130"/>
    <w:rsid w:val="004F3523"/>
    <w:rsid w:val="005973B9"/>
    <w:rsid w:val="005B3A56"/>
    <w:rsid w:val="006060CE"/>
    <w:rsid w:val="0063497F"/>
    <w:rsid w:val="0078738A"/>
    <w:rsid w:val="00873DF0"/>
    <w:rsid w:val="008756E6"/>
    <w:rsid w:val="0093069E"/>
    <w:rsid w:val="0097583F"/>
    <w:rsid w:val="009B2D44"/>
    <w:rsid w:val="00A07E82"/>
    <w:rsid w:val="00A9710C"/>
    <w:rsid w:val="00AE3E37"/>
    <w:rsid w:val="00B21A57"/>
    <w:rsid w:val="00C33602"/>
    <w:rsid w:val="00CD6F55"/>
    <w:rsid w:val="00D62425"/>
    <w:rsid w:val="00D8095C"/>
    <w:rsid w:val="00DE3104"/>
    <w:rsid w:val="00E032F4"/>
    <w:rsid w:val="00F72EEA"/>
    <w:rsid w:val="00F8136A"/>
    <w:rsid w:val="00F84CAE"/>
    <w:rsid w:val="00FE75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41CC7-1EC0-4516-8F6E-FD8701C0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D8095C"/>
    <w:pPr>
      <w:widowControl/>
      <w:spacing w:before="100" w:beforeAutospacing="1" w:after="100" w:afterAutospacing="1"/>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62330928">
      <w:bodyDiv w:val="1"/>
      <w:marLeft w:val="0"/>
      <w:marRight w:val="0"/>
      <w:marTop w:val="0"/>
      <w:marBottom w:val="0"/>
      <w:divBdr>
        <w:top w:val="none" w:sz="0" w:space="0" w:color="auto"/>
        <w:left w:val="none" w:sz="0" w:space="0" w:color="auto"/>
        <w:bottom w:val="none" w:sz="0" w:space="0" w:color="auto"/>
        <w:right w:val="none" w:sz="0" w:space="0" w:color="auto"/>
      </w:divBdr>
    </w:div>
    <w:div w:id="1060714328">
      <w:bodyDiv w:val="1"/>
      <w:marLeft w:val="0"/>
      <w:marRight w:val="0"/>
      <w:marTop w:val="0"/>
      <w:marBottom w:val="0"/>
      <w:divBdr>
        <w:top w:val="none" w:sz="0" w:space="0" w:color="auto"/>
        <w:left w:val="none" w:sz="0" w:space="0" w:color="auto"/>
        <w:bottom w:val="none" w:sz="0" w:space="0" w:color="auto"/>
        <w:right w:val="none" w:sz="0" w:space="0" w:color="auto"/>
      </w:divBdr>
      <w:divsChild>
        <w:div w:id="40881721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palzategr@fucsalud.edu.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2E810-FDAD-4291-B2C0-1A2B57ADD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740</Words>
  <Characters>4072</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pablo alzate granados</cp:lastModifiedBy>
  <cp:revision>7</cp:revision>
  <dcterms:created xsi:type="dcterms:W3CDTF">2016-08-31T13:10:00Z</dcterms:created>
  <dcterms:modified xsi:type="dcterms:W3CDTF">2018-09-27T20:46:00Z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