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F3A5E1" w14:textId="77777777" w:rsidR="00556AA6" w:rsidRDefault="00556AA6" w:rsidP="00556AA6">
      <w:pPr>
        <w:pStyle w:val="NormalWeb"/>
        <w:shd w:val="clear" w:color="auto" w:fill="FFFFFF"/>
      </w:pPr>
      <w:r>
        <w:rPr>
          <w:rFonts w:ascii="DejaVuSans" w:hAnsi="DejaVuSans"/>
          <w:b/>
          <w:bCs/>
          <w:color w:val="1E2328"/>
        </w:rPr>
        <w:t xml:space="preserve">Functional outcome following management of Chronic Congenital Craniovertebral junction anomaly. An Observational study. </w:t>
      </w:r>
    </w:p>
    <w:p w14:paraId="3B2F79E3" w14:textId="77777777" w:rsidR="00556AA6" w:rsidRDefault="00556AA6" w:rsidP="00556AA6">
      <w:pPr>
        <w:pStyle w:val="NormalWeb"/>
        <w:shd w:val="clear" w:color="auto" w:fill="FFFFFF"/>
      </w:pPr>
      <w:proofErr w:type="spellStart"/>
      <w:r>
        <w:rPr>
          <w:rFonts w:ascii="DejaVuSans" w:hAnsi="DejaVuSans"/>
          <w:color w:val="1E2328"/>
          <w:sz w:val="14"/>
          <w:szCs w:val="14"/>
        </w:rPr>
        <w:t>B.k</w:t>
      </w:r>
      <w:proofErr w:type="spellEnd"/>
      <w:r>
        <w:rPr>
          <w:rFonts w:ascii="DejaVuSans" w:hAnsi="DejaVuSans"/>
          <w:color w:val="1E2328"/>
          <w:sz w:val="14"/>
          <w:szCs w:val="14"/>
        </w:rPr>
        <w:t>. Singh</w:t>
      </w:r>
      <w:r>
        <w:rPr>
          <w:rFonts w:ascii="DejaVuSans" w:hAnsi="DejaVuSans"/>
          <w:color w:val="1E2328"/>
          <w:position w:val="4"/>
          <w:sz w:val="10"/>
          <w:szCs w:val="10"/>
        </w:rPr>
        <w:t>1</w:t>
      </w:r>
      <w:r>
        <w:rPr>
          <w:rFonts w:ascii="DejaVuSans" w:hAnsi="DejaVuSans"/>
          <w:color w:val="1E2328"/>
          <w:sz w:val="14"/>
          <w:szCs w:val="14"/>
        </w:rPr>
        <w:t>, A. Mukherjee</w:t>
      </w:r>
      <w:r>
        <w:rPr>
          <w:rFonts w:ascii="DejaVuSans" w:hAnsi="DejaVuSans"/>
          <w:color w:val="1E2328"/>
          <w:position w:val="4"/>
          <w:sz w:val="10"/>
          <w:szCs w:val="10"/>
        </w:rPr>
        <w:t>2</w:t>
      </w:r>
      <w:r>
        <w:rPr>
          <w:rFonts w:ascii="DejaVuSans" w:hAnsi="DejaVuSans"/>
          <w:color w:val="1E2328"/>
          <w:sz w:val="14"/>
          <w:szCs w:val="14"/>
        </w:rPr>
        <w:t>, T. Ghosh</w:t>
      </w:r>
      <w:r>
        <w:rPr>
          <w:rFonts w:ascii="DejaVuSans" w:hAnsi="DejaVuSans"/>
          <w:color w:val="1E2328"/>
          <w:position w:val="4"/>
          <w:sz w:val="10"/>
          <w:szCs w:val="10"/>
        </w:rPr>
        <w:t>2</w:t>
      </w:r>
      <w:r>
        <w:rPr>
          <w:rFonts w:ascii="DejaVuSans" w:hAnsi="DejaVuSans"/>
          <w:color w:val="1E2328"/>
          <w:position w:val="4"/>
          <w:sz w:val="10"/>
          <w:szCs w:val="10"/>
        </w:rPr>
        <w:br/>
        <w:t>1</w:t>
      </w:r>
      <w:r>
        <w:rPr>
          <w:rFonts w:ascii="DejaVuSans" w:hAnsi="DejaVuSans"/>
          <w:color w:val="1E2328"/>
          <w:sz w:val="14"/>
          <w:szCs w:val="14"/>
        </w:rPr>
        <w:t xml:space="preserve">AIIMS Raipur, Neurosurgery, </w:t>
      </w:r>
      <w:proofErr w:type="spellStart"/>
      <w:r>
        <w:rPr>
          <w:rFonts w:ascii="DejaVuSans" w:hAnsi="DejaVuSans"/>
          <w:color w:val="1E2328"/>
          <w:sz w:val="14"/>
          <w:szCs w:val="14"/>
        </w:rPr>
        <w:t>raipur</w:t>
      </w:r>
      <w:proofErr w:type="spellEnd"/>
      <w:r>
        <w:rPr>
          <w:rFonts w:ascii="DejaVuSans" w:hAnsi="DejaVuSans"/>
          <w:color w:val="1E2328"/>
          <w:sz w:val="14"/>
          <w:szCs w:val="14"/>
        </w:rPr>
        <w:t xml:space="preserve">, India, </w:t>
      </w:r>
      <w:r>
        <w:rPr>
          <w:rFonts w:ascii="DejaVuSans" w:hAnsi="DejaVuSans"/>
          <w:color w:val="1E2328"/>
          <w:position w:val="4"/>
          <w:sz w:val="10"/>
          <w:szCs w:val="10"/>
        </w:rPr>
        <w:t>2</w:t>
      </w:r>
      <w:r>
        <w:rPr>
          <w:rFonts w:ascii="DejaVuSans" w:hAnsi="DejaVuSans"/>
          <w:color w:val="1E2328"/>
          <w:sz w:val="14"/>
          <w:szCs w:val="14"/>
        </w:rPr>
        <w:t xml:space="preserve">NEIGRIHMS, Neurosurgery, </w:t>
      </w:r>
      <w:proofErr w:type="spellStart"/>
      <w:r>
        <w:rPr>
          <w:rFonts w:ascii="DejaVuSans" w:hAnsi="DejaVuSans"/>
          <w:color w:val="1E2328"/>
          <w:sz w:val="14"/>
          <w:szCs w:val="14"/>
        </w:rPr>
        <w:t>Shillong</w:t>
      </w:r>
      <w:proofErr w:type="spellEnd"/>
      <w:r>
        <w:rPr>
          <w:rFonts w:ascii="DejaVuSans" w:hAnsi="DejaVuSans"/>
          <w:color w:val="1E2328"/>
          <w:sz w:val="14"/>
          <w:szCs w:val="14"/>
        </w:rPr>
        <w:t>, India</w:t>
      </w:r>
      <w:r>
        <w:rPr>
          <w:rFonts w:ascii="DejaVuSans" w:hAnsi="DejaVuSans"/>
          <w:color w:val="1E2328"/>
          <w:sz w:val="14"/>
          <w:szCs w:val="14"/>
        </w:rPr>
        <w:br/>
      </w:r>
      <w:r>
        <w:rPr>
          <w:rFonts w:ascii="DejaVuSans" w:hAnsi="DejaVuSans"/>
          <w:b/>
          <w:bCs/>
          <w:color w:val="1E2328"/>
          <w:sz w:val="14"/>
          <w:szCs w:val="14"/>
        </w:rPr>
        <w:t>Preferred Presentation Type</w:t>
      </w:r>
      <w:r>
        <w:rPr>
          <w:rFonts w:ascii="DejaVuSans" w:hAnsi="DejaVuSans"/>
          <w:color w:val="1E2328"/>
          <w:sz w:val="14"/>
          <w:szCs w:val="14"/>
        </w:rPr>
        <w:t>: Oral presentation</w:t>
      </w:r>
      <w:r>
        <w:rPr>
          <w:rFonts w:ascii="DejaVuSans" w:hAnsi="DejaVuSans"/>
          <w:color w:val="1E2328"/>
          <w:sz w:val="14"/>
          <w:szCs w:val="14"/>
        </w:rPr>
        <w:br/>
      </w:r>
      <w:r>
        <w:rPr>
          <w:rFonts w:ascii="DejaVuSans" w:hAnsi="DejaVuSans"/>
          <w:b/>
          <w:bCs/>
          <w:color w:val="1E2328"/>
          <w:sz w:val="14"/>
          <w:szCs w:val="14"/>
        </w:rPr>
        <w:t>Topic</w:t>
      </w:r>
      <w:r>
        <w:rPr>
          <w:rFonts w:ascii="DejaVuSans" w:hAnsi="DejaVuSans"/>
          <w:color w:val="1E2328"/>
          <w:sz w:val="14"/>
          <w:szCs w:val="14"/>
        </w:rPr>
        <w:t>: Spine</w:t>
      </w:r>
      <w:r>
        <w:rPr>
          <w:rFonts w:ascii="DejaVuSans" w:hAnsi="DejaVuSans"/>
          <w:color w:val="1E2328"/>
          <w:sz w:val="14"/>
          <w:szCs w:val="14"/>
        </w:rPr>
        <w:br/>
      </w:r>
      <w:r>
        <w:rPr>
          <w:rFonts w:ascii="DejaVuSans" w:hAnsi="DejaVuSans"/>
          <w:b/>
          <w:bCs/>
          <w:color w:val="1E2328"/>
          <w:sz w:val="14"/>
          <w:szCs w:val="14"/>
        </w:rPr>
        <w:t>Title</w:t>
      </w:r>
      <w:r>
        <w:rPr>
          <w:rFonts w:ascii="DejaVuSans" w:hAnsi="DejaVuSans"/>
          <w:color w:val="1E2328"/>
          <w:sz w:val="14"/>
          <w:szCs w:val="14"/>
        </w:rPr>
        <w:t>: Functional outcome following management of Chronic Congenital Craniovertebral junction anomaly. An Observational study.</w:t>
      </w:r>
      <w:r>
        <w:rPr>
          <w:rFonts w:ascii="DejaVuSans" w:hAnsi="DejaVuSans"/>
          <w:color w:val="1E2328"/>
          <w:sz w:val="14"/>
          <w:szCs w:val="14"/>
        </w:rPr>
        <w:br/>
      </w:r>
      <w:r>
        <w:rPr>
          <w:rFonts w:ascii="DejaVuSans" w:hAnsi="DejaVuSans"/>
          <w:b/>
          <w:bCs/>
          <w:color w:val="1E2328"/>
          <w:sz w:val="14"/>
          <w:szCs w:val="14"/>
        </w:rPr>
        <w:t>Objectives</w:t>
      </w:r>
      <w:r>
        <w:rPr>
          <w:rFonts w:ascii="DejaVuSans" w:hAnsi="DejaVuSans"/>
          <w:color w:val="1E2328"/>
          <w:sz w:val="14"/>
          <w:szCs w:val="14"/>
        </w:rPr>
        <w:t>: To evaluate the functional outcome following management of Chronic Congenital Craniovertebral junction anomaly.</w:t>
      </w:r>
      <w:r>
        <w:rPr>
          <w:rFonts w:ascii="DejaVuSans" w:hAnsi="DejaVuSans"/>
          <w:color w:val="1E2328"/>
          <w:sz w:val="14"/>
          <w:szCs w:val="14"/>
        </w:rPr>
        <w:br/>
      </w:r>
      <w:r>
        <w:rPr>
          <w:rFonts w:ascii="DejaVuSans" w:hAnsi="DejaVuSans"/>
          <w:b/>
          <w:bCs/>
          <w:color w:val="1E2328"/>
          <w:sz w:val="14"/>
          <w:szCs w:val="14"/>
        </w:rPr>
        <w:t>Background</w:t>
      </w:r>
      <w:r>
        <w:rPr>
          <w:rFonts w:ascii="DejaVuSans" w:hAnsi="DejaVuSans"/>
          <w:color w:val="1E2328"/>
          <w:sz w:val="14"/>
          <w:szCs w:val="14"/>
        </w:rPr>
        <w:t xml:space="preserve">: </w:t>
      </w:r>
      <w:r>
        <w:rPr>
          <w:rFonts w:ascii="DejaVuSans" w:hAnsi="DejaVuSans"/>
          <w:b/>
          <w:bCs/>
          <w:color w:val="1E2328"/>
          <w:sz w:val="14"/>
          <w:szCs w:val="14"/>
        </w:rPr>
        <w:t xml:space="preserve">Congenital </w:t>
      </w:r>
      <w:r>
        <w:rPr>
          <w:rFonts w:ascii="DejaVuSans" w:hAnsi="DejaVuSans"/>
          <w:color w:val="1E2328"/>
          <w:sz w:val="14"/>
          <w:szCs w:val="14"/>
        </w:rPr>
        <w:t xml:space="preserve">Craniovertebral junction (CVJ) anomaly is a complex pathology and management is mostly surgical and it can result in myelopathy and functional disability if not treated on time. Surgical management of CVJ anomaly is intricate because of bony anatomy; and due to the distinct relationships with the brain stem and surrounding neurovascular structures. There are variations in the approaches because of various bony and arterial anomaly </w:t>
      </w:r>
      <w:proofErr w:type="spellStart"/>
      <w:proofErr w:type="gramStart"/>
      <w:r>
        <w:rPr>
          <w:rFonts w:ascii="DejaVuSans" w:hAnsi="DejaVuSans"/>
          <w:color w:val="1E2328"/>
          <w:sz w:val="14"/>
          <w:szCs w:val="14"/>
        </w:rPr>
        <w:t>involved.Beside</w:t>
      </w:r>
      <w:proofErr w:type="spellEnd"/>
      <w:proofErr w:type="gramEnd"/>
      <w:r>
        <w:rPr>
          <w:rFonts w:ascii="DejaVuSans" w:hAnsi="DejaVuSans"/>
          <w:color w:val="1E2328"/>
          <w:sz w:val="14"/>
          <w:szCs w:val="14"/>
        </w:rPr>
        <w:t xml:space="preserve"> these facilities for such surgeries are not easily accessible as it also needs a good infrastructure as well. Timely surgical management of such patients has shown better neurological outcomes. But many times, patient present lately and with established myelopathy due to ignorance or lack of surgical facility close to them. There are no studies till date that have accurately evaluated the results of surgery for patients presenting with chronic CVJ anomaly. Thus, the functional outcome for delayed surgical management in such patients are not known.</w:t>
      </w:r>
      <w:r>
        <w:rPr>
          <w:rFonts w:ascii="DejaVuSans" w:hAnsi="DejaVuSans"/>
          <w:color w:val="1E2328"/>
          <w:sz w:val="14"/>
          <w:szCs w:val="14"/>
        </w:rPr>
        <w:br/>
      </w:r>
      <w:r>
        <w:rPr>
          <w:rFonts w:ascii="DejaVuSans" w:hAnsi="DejaVuSans"/>
          <w:b/>
          <w:bCs/>
          <w:color w:val="1E2328"/>
          <w:sz w:val="14"/>
          <w:szCs w:val="14"/>
        </w:rPr>
        <w:t>Methods</w:t>
      </w:r>
      <w:r>
        <w:rPr>
          <w:rFonts w:ascii="DejaVuSans" w:hAnsi="DejaVuSans"/>
          <w:color w:val="1E2328"/>
          <w:sz w:val="14"/>
          <w:szCs w:val="14"/>
        </w:rPr>
        <w:t xml:space="preserve">: In our study, 22 patients underwent decompression, fixation, and fusion, aged 8 to 25 years, with 16 males and 6 females .Three patients underwent trans oral </w:t>
      </w:r>
      <w:proofErr w:type="spellStart"/>
      <w:r>
        <w:rPr>
          <w:rFonts w:ascii="DejaVuSans" w:hAnsi="DejaVuSans"/>
          <w:color w:val="1E2328"/>
          <w:sz w:val="14"/>
          <w:szCs w:val="14"/>
        </w:rPr>
        <w:t>odointoidectomy</w:t>
      </w:r>
      <w:proofErr w:type="spellEnd"/>
      <w:r>
        <w:rPr>
          <w:rFonts w:ascii="DejaVuSans" w:hAnsi="DejaVuSans"/>
          <w:color w:val="1E2328"/>
          <w:sz w:val="14"/>
          <w:szCs w:val="14"/>
        </w:rPr>
        <w:t xml:space="preserve"> followed by posterior fixation and in the remaining only posterior fixation was </w:t>
      </w:r>
      <w:proofErr w:type="spellStart"/>
      <w:r>
        <w:rPr>
          <w:rFonts w:ascii="DejaVuSans" w:hAnsi="DejaVuSans"/>
          <w:color w:val="1E2328"/>
          <w:sz w:val="14"/>
          <w:szCs w:val="14"/>
        </w:rPr>
        <w:t>done.The</w:t>
      </w:r>
      <w:proofErr w:type="spellEnd"/>
      <w:r>
        <w:rPr>
          <w:rFonts w:ascii="DejaVuSans" w:hAnsi="DejaVuSans"/>
          <w:color w:val="1E2328"/>
          <w:sz w:val="14"/>
          <w:szCs w:val="14"/>
        </w:rPr>
        <w:t xml:space="preserve"> presenting clinical status, surgical variations, complications and post-surgical outcome were evaluated </w:t>
      </w:r>
      <w:proofErr w:type="spellStart"/>
      <w:r>
        <w:rPr>
          <w:rFonts w:ascii="DejaVuSans" w:hAnsi="DejaVuSans"/>
          <w:color w:val="1E2328"/>
          <w:sz w:val="14"/>
          <w:szCs w:val="14"/>
        </w:rPr>
        <w:t>clinico</w:t>
      </w:r>
      <w:proofErr w:type="spellEnd"/>
      <w:r>
        <w:rPr>
          <w:rFonts w:ascii="DejaVuSans" w:hAnsi="DejaVuSans"/>
          <w:color w:val="1E2328"/>
          <w:sz w:val="14"/>
          <w:szCs w:val="14"/>
        </w:rPr>
        <w:t xml:space="preserve">- </w:t>
      </w:r>
      <w:proofErr w:type="spellStart"/>
      <w:r>
        <w:rPr>
          <w:rFonts w:ascii="DejaVuSans" w:hAnsi="DejaVuSans"/>
          <w:color w:val="1E2328"/>
          <w:sz w:val="14"/>
          <w:szCs w:val="14"/>
        </w:rPr>
        <w:t>radiologically.Pre</w:t>
      </w:r>
      <w:proofErr w:type="spellEnd"/>
      <w:r>
        <w:rPr>
          <w:rFonts w:ascii="DejaVuSans" w:hAnsi="DejaVuSans"/>
          <w:color w:val="1E2328"/>
          <w:sz w:val="14"/>
          <w:szCs w:val="14"/>
        </w:rPr>
        <w:t xml:space="preserve"> and </w:t>
      </w:r>
      <w:proofErr w:type="spellStart"/>
      <w:r>
        <w:rPr>
          <w:rFonts w:ascii="DejaVuSans" w:hAnsi="DejaVuSans"/>
          <w:color w:val="1E2328"/>
          <w:sz w:val="14"/>
          <w:szCs w:val="14"/>
        </w:rPr>
        <w:t>post operative</w:t>
      </w:r>
      <w:proofErr w:type="spellEnd"/>
      <w:r>
        <w:rPr>
          <w:rFonts w:ascii="DejaVuSans" w:hAnsi="DejaVuSans"/>
          <w:color w:val="1E2328"/>
          <w:sz w:val="14"/>
          <w:szCs w:val="14"/>
        </w:rPr>
        <w:t xml:space="preserve"> functional status were assessed by Japanese Orthopedic Association score for </w:t>
      </w:r>
      <w:proofErr w:type="spellStart"/>
      <w:r>
        <w:rPr>
          <w:rFonts w:ascii="DejaVuSans" w:hAnsi="DejaVuSans"/>
          <w:color w:val="1E2328"/>
          <w:sz w:val="14"/>
          <w:szCs w:val="14"/>
        </w:rPr>
        <w:t>atleast</w:t>
      </w:r>
      <w:proofErr w:type="spellEnd"/>
      <w:r>
        <w:rPr>
          <w:rFonts w:ascii="DejaVuSans" w:hAnsi="DejaVuSans"/>
          <w:color w:val="1E2328"/>
          <w:sz w:val="14"/>
          <w:szCs w:val="14"/>
        </w:rPr>
        <w:t xml:space="preserve"> one year post surgery.</w:t>
      </w:r>
      <w:r>
        <w:rPr>
          <w:rFonts w:ascii="DejaVuSans" w:hAnsi="DejaVuSans"/>
          <w:color w:val="1E2328"/>
          <w:sz w:val="14"/>
          <w:szCs w:val="14"/>
        </w:rPr>
        <w:br/>
      </w:r>
      <w:r>
        <w:rPr>
          <w:rFonts w:ascii="DejaVuSans" w:hAnsi="DejaVuSans"/>
          <w:b/>
          <w:bCs/>
          <w:color w:val="1E2328"/>
          <w:sz w:val="14"/>
          <w:szCs w:val="14"/>
        </w:rPr>
        <w:t>Results</w:t>
      </w:r>
      <w:r>
        <w:rPr>
          <w:rFonts w:ascii="DejaVuSans" w:hAnsi="DejaVuSans"/>
          <w:color w:val="1E2328"/>
          <w:sz w:val="14"/>
          <w:szCs w:val="14"/>
        </w:rPr>
        <w:t xml:space="preserve">: There is improvement in JOA scores in 14 patients (63.63%) even after delayed </w:t>
      </w:r>
      <w:proofErr w:type="spellStart"/>
      <w:r>
        <w:rPr>
          <w:rFonts w:ascii="DejaVuSans" w:hAnsi="DejaVuSans"/>
          <w:color w:val="1E2328"/>
          <w:sz w:val="14"/>
          <w:szCs w:val="14"/>
        </w:rPr>
        <w:t>surgery.Fusion</w:t>
      </w:r>
      <w:proofErr w:type="spellEnd"/>
      <w:r>
        <w:rPr>
          <w:rFonts w:ascii="DejaVuSans" w:hAnsi="DejaVuSans"/>
          <w:color w:val="1E2328"/>
          <w:sz w:val="14"/>
          <w:szCs w:val="14"/>
        </w:rPr>
        <w:t xml:space="preserve"> was achieved in 19 patients (18.6%) One patient died of pneumonia , and two had pressure sore. Posterior only approach resulted in is reduction and fusion in 84.50%.</w:t>
      </w:r>
      <w:r>
        <w:rPr>
          <w:rFonts w:ascii="DejaVuSans" w:hAnsi="DejaVuSans"/>
          <w:color w:val="1E2328"/>
          <w:sz w:val="14"/>
          <w:szCs w:val="14"/>
        </w:rPr>
        <w:br/>
      </w:r>
      <w:r>
        <w:rPr>
          <w:rFonts w:ascii="DejaVuSans" w:hAnsi="DejaVuSans"/>
          <w:b/>
          <w:bCs/>
          <w:color w:val="1E2328"/>
          <w:sz w:val="14"/>
          <w:szCs w:val="14"/>
        </w:rPr>
        <w:t>Conclusions</w:t>
      </w:r>
      <w:r>
        <w:rPr>
          <w:rFonts w:ascii="DejaVuSans" w:hAnsi="DejaVuSans"/>
          <w:color w:val="1E2328"/>
          <w:sz w:val="14"/>
          <w:szCs w:val="14"/>
        </w:rPr>
        <w:t>: Surgery should always be offered in patients of Chronic CVJ anomaly with delayed presentation with chances of improvement.</w:t>
      </w:r>
      <w:r>
        <w:rPr>
          <w:rFonts w:ascii="DejaVuSans" w:hAnsi="DejaVuSans"/>
          <w:color w:val="1E2328"/>
          <w:sz w:val="14"/>
          <w:szCs w:val="14"/>
        </w:rPr>
        <w:br/>
      </w:r>
      <w:r>
        <w:rPr>
          <w:rFonts w:ascii="DejaVuSans" w:hAnsi="DejaVuSans"/>
          <w:b/>
          <w:bCs/>
          <w:color w:val="1E2328"/>
          <w:sz w:val="14"/>
          <w:szCs w:val="14"/>
        </w:rPr>
        <w:t>Keyword 1</w:t>
      </w:r>
      <w:r>
        <w:rPr>
          <w:rFonts w:ascii="DejaVuSans" w:hAnsi="DejaVuSans"/>
          <w:color w:val="1E2328"/>
          <w:sz w:val="14"/>
          <w:szCs w:val="14"/>
        </w:rPr>
        <w:t>: Craniovertebral junction</w:t>
      </w:r>
      <w:r>
        <w:rPr>
          <w:rFonts w:ascii="DejaVuSans" w:hAnsi="DejaVuSans"/>
          <w:color w:val="1E2328"/>
          <w:sz w:val="14"/>
          <w:szCs w:val="14"/>
        </w:rPr>
        <w:br/>
      </w:r>
      <w:r>
        <w:rPr>
          <w:rFonts w:ascii="DejaVuSans" w:hAnsi="DejaVuSans"/>
          <w:b/>
          <w:bCs/>
          <w:color w:val="1E2328"/>
          <w:sz w:val="14"/>
          <w:szCs w:val="14"/>
        </w:rPr>
        <w:t>Keyword 2</w:t>
      </w:r>
      <w:r>
        <w:rPr>
          <w:rFonts w:ascii="DejaVuSans" w:hAnsi="DejaVuSans"/>
          <w:color w:val="1E2328"/>
          <w:sz w:val="14"/>
          <w:szCs w:val="14"/>
        </w:rPr>
        <w:t>: Myelopathy</w:t>
      </w:r>
      <w:r>
        <w:rPr>
          <w:rFonts w:ascii="DejaVuSans" w:hAnsi="DejaVuSans"/>
          <w:color w:val="1E2328"/>
          <w:sz w:val="14"/>
          <w:szCs w:val="14"/>
        </w:rPr>
        <w:br/>
      </w:r>
      <w:r>
        <w:rPr>
          <w:rFonts w:ascii="DejaVuSans" w:hAnsi="DejaVuSans"/>
          <w:b/>
          <w:bCs/>
          <w:color w:val="1E2328"/>
          <w:sz w:val="14"/>
          <w:szCs w:val="14"/>
        </w:rPr>
        <w:t>Keyword 3</w:t>
      </w:r>
      <w:r>
        <w:rPr>
          <w:rFonts w:ascii="DejaVuSans" w:hAnsi="DejaVuSans"/>
          <w:color w:val="1E2328"/>
          <w:sz w:val="14"/>
          <w:szCs w:val="14"/>
        </w:rPr>
        <w:t xml:space="preserve">: Japanese </w:t>
      </w:r>
      <w:proofErr w:type="spellStart"/>
      <w:r>
        <w:rPr>
          <w:rFonts w:ascii="DejaVuSans" w:hAnsi="DejaVuSans"/>
          <w:color w:val="1E2328"/>
          <w:sz w:val="14"/>
          <w:szCs w:val="14"/>
        </w:rPr>
        <w:t>Orthopaedic</w:t>
      </w:r>
      <w:proofErr w:type="spellEnd"/>
      <w:r>
        <w:rPr>
          <w:rFonts w:ascii="DejaVuSans" w:hAnsi="DejaVuSans"/>
          <w:color w:val="1E2328"/>
          <w:sz w:val="14"/>
          <w:szCs w:val="14"/>
        </w:rPr>
        <w:t xml:space="preserve"> association (JOA)</w:t>
      </w:r>
      <w:r>
        <w:rPr>
          <w:rFonts w:ascii="DejaVuSans" w:hAnsi="DejaVuSans"/>
          <w:color w:val="1E2328"/>
          <w:sz w:val="14"/>
          <w:szCs w:val="14"/>
        </w:rPr>
        <w:br/>
      </w:r>
      <w:r>
        <w:rPr>
          <w:rFonts w:ascii="DejaVuSans" w:hAnsi="DejaVuSans"/>
          <w:b/>
          <w:bCs/>
          <w:color w:val="1E2328"/>
          <w:sz w:val="14"/>
          <w:szCs w:val="14"/>
        </w:rPr>
        <w:t>Keyword 4</w:t>
      </w:r>
      <w:r>
        <w:rPr>
          <w:rFonts w:ascii="DejaVuSans" w:hAnsi="DejaVuSans"/>
          <w:color w:val="1E2328"/>
          <w:sz w:val="14"/>
          <w:szCs w:val="14"/>
        </w:rPr>
        <w:t>: Functional outcome</w:t>
      </w:r>
    </w:p>
    <w:p w14:paraId="2763C871" w14:textId="77777777" w:rsidR="00A42D0E" w:rsidRPr="00556AA6" w:rsidRDefault="00A42D0E">
      <w:pPr>
        <w:rPr>
          <w:sz w:val="28"/>
          <w:szCs w:val="28"/>
        </w:rPr>
      </w:pPr>
      <w:bookmarkStart w:id="0" w:name="_GoBack"/>
      <w:bookmarkEnd w:id="0"/>
    </w:p>
    <w:sectPr w:rsidR="00A42D0E" w:rsidRPr="00556AA6" w:rsidSect="00D54C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AA6"/>
    <w:rsid w:val="00556AA6"/>
    <w:rsid w:val="00A42D0E"/>
    <w:rsid w:val="00D54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0BF6C9"/>
  <w15:chartTrackingRefBased/>
  <w15:docId w15:val="{321EAB2B-C4E6-9A4C-81DD-013E17570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6AA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1114050">
      <w:bodyDiv w:val="1"/>
      <w:marLeft w:val="0"/>
      <w:marRight w:val="0"/>
      <w:marTop w:val="0"/>
      <w:marBottom w:val="0"/>
      <w:divBdr>
        <w:top w:val="none" w:sz="0" w:space="0" w:color="auto"/>
        <w:left w:val="none" w:sz="0" w:space="0" w:color="auto"/>
        <w:bottom w:val="none" w:sz="0" w:space="0" w:color="auto"/>
        <w:right w:val="none" w:sz="0" w:space="0" w:color="auto"/>
      </w:divBdr>
      <w:divsChild>
        <w:div w:id="675348795">
          <w:marLeft w:val="0"/>
          <w:marRight w:val="0"/>
          <w:marTop w:val="0"/>
          <w:marBottom w:val="0"/>
          <w:divBdr>
            <w:top w:val="none" w:sz="0" w:space="0" w:color="auto"/>
            <w:left w:val="none" w:sz="0" w:space="0" w:color="auto"/>
            <w:bottom w:val="none" w:sz="0" w:space="0" w:color="auto"/>
            <w:right w:val="none" w:sz="0" w:space="0" w:color="auto"/>
          </w:divBdr>
          <w:divsChild>
            <w:div w:id="1605769719">
              <w:marLeft w:val="0"/>
              <w:marRight w:val="0"/>
              <w:marTop w:val="0"/>
              <w:marBottom w:val="0"/>
              <w:divBdr>
                <w:top w:val="none" w:sz="0" w:space="0" w:color="auto"/>
                <w:left w:val="none" w:sz="0" w:space="0" w:color="auto"/>
                <w:bottom w:val="none" w:sz="0" w:space="0" w:color="auto"/>
                <w:right w:val="none" w:sz="0" w:space="0" w:color="auto"/>
              </w:divBdr>
              <w:divsChild>
                <w:div w:id="1282809427">
                  <w:marLeft w:val="0"/>
                  <w:marRight w:val="0"/>
                  <w:marTop w:val="0"/>
                  <w:marBottom w:val="0"/>
                  <w:divBdr>
                    <w:top w:val="none" w:sz="0" w:space="0" w:color="auto"/>
                    <w:left w:val="none" w:sz="0" w:space="0" w:color="auto"/>
                    <w:bottom w:val="none" w:sz="0" w:space="0" w:color="auto"/>
                    <w:right w:val="none" w:sz="0" w:space="0" w:color="auto"/>
                  </w:divBdr>
                  <w:divsChild>
                    <w:div w:id="207882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396</Words>
  <Characters>2262</Characters>
  <Application>Microsoft Office Word</Application>
  <DocSecurity>0</DocSecurity>
  <Lines>18</Lines>
  <Paragraphs>5</Paragraphs>
  <ScaleCrop>false</ScaleCrop>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2024-03-28T08:50:00Z</dcterms:created>
  <dcterms:modified xsi:type="dcterms:W3CDTF">2024-03-28T08:51:00Z</dcterms:modified>
</cp:coreProperties>
</file>