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300"/>
        <w:jc w:val="center"/>
      </w:pPr>
      <w:r>
        <w:t xml:space="preserve">Enhancing Patient Outcomes in Spine Surgery: The Role of AI in Implant Design and Postoperative Care</w:t>
      </w:r>
    </w:p>
    <w:p>
      <w:pPr>
        <w:spacing w:after="200"/>
      </w:pPr>
      <w:r>
        <w:rPr>
          <w:b/>
          <w:bCs/>
          <w:sz w:val="24"/>
          <w:szCs w:val="24"/>
        </w:rPr>
        <w:t xml:space="preserve">Abstract</w:t>
      </w:r>
    </w:p>
    <w:p>
      <w:pPr>
        <w:spacing w:line="360"/>
        <w:jc w:val="both"/>
      </w:pPr>
      <w:r>
        <w:rPr>
          <w:sz w:val="22"/>
          <w:szCs w:val="22"/>
        </w:rPr>
        <w:t xml:space="preserve">Artificial Intelligence (AI) is increasingly revolutionizing the field of spine care and providing cutting-edge solutions for postoperative care and implant design. As spinal disorders become more complex, conventional methods prove to be inefficient when it comes to accuracy, specificity, and intervention in the early stages. Deep learning, machine learning, and predictive analytics make personalized implant design highly individualized with consideration of patient-specific anatomical and biomechanical differences so as to enhance the success of surgery and minimize revision rates. This review presents a fresh, all-inclusive perspective by focusing particularly on the dual contributions of AI to advanced implant design and intelligent postoperative care—areas critical to long-term surgery success. It assesses the advancements made and the future of AI in spinal treatment as far as technological progress is concerned, clinical integration strategies, and the translational research process. Data privacy, model explainability, and regulatory and clinical validation problems are examined critically alongside the limitations that can prevent extensive use. Additionally, AI and robotics, digital twin, AR, and federated learning future directions are considered as solutions to multi-center centers. By filling these gaps, AI will revolutionize precision spine surgery and postoperative management and ultimately lead to safer patient outcomes, lower healthcare costs, and improved quality of life.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2026-08-31T11:26:09.747Z</dcterms:created>
  <dcterms:modified xsi:type="dcterms:W3CDTF">2026-08-31T11:26:09.761Z</dcterms:modified>
</cp:coreProperties>
</file>

<file path=docProps/custom.xml><?xml version="1.0" encoding="utf-8"?>
<Properties xmlns="http://schemas.openxmlformats.org/officeDocument/2006/custom-properties" xmlns:vt="http://schemas.openxmlformats.org/officeDocument/2006/docPropsVTypes"/>
</file>