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CE058" w14:textId="77777777" w:rsidR="00BE50DA" w:rsidRPr="00841DEE" w:rsidRDefault="00BE50DA" w:rsidP="00F520EB">
      <w:pPr>
        <w:spacing w:before="100" w:beforeAutospacing="1" w:after="100" w:afterAutospacing="1"/>
        <w:jc w:val="both"/>
        <w:rPr>
          <w:rFonts w:ascii="Arial" w:eastAsia="Times New Roman" w:hAnsi="Arial" w:cs="Arial"/>
          <w:b/>
          <w:bCs/>
          <w:color w:val="4F81BD" w:themeColor="accent1"/>
          <w:sz w:val="20"/>
          <w:szCs w:val="20"/>
          <w:lang w:eastAsia="tr-TR"/>
        </w:rPr>
      </w:pPr>
      <w:r w:rsidRPr="00841DEE">
        <w:rPr>
          <w:rFonts w:ascii="Arial" w:hAnsi="Arial" w:cs="Arial"/>
          <w:b/>
          <w:bCs/>
          <w:color w:val="4F81BD" w:themeColor="accent1"/>
          <w:sz w:val="20"/>
          <w:szCs w:val="20"/>
        </w:rPr>
        <w:t>Frailty Status and Its Association with Physical Function, and Disability in Elderly Patients with Lumbar Spinal Stenosis: A Cross-Sectional Study</w:t>
      </w:r>
    </w:p>
    <w:p w14:paraId="0BD39276" w14:textId="0EAD387A" w:rsidR="0078738A" w:rsidRDefault="00BE50DA" w:rsidP="00F520EB">
      <w:pPr>
        <w:pStyle w:val="GvdeMetni"/>
        <w:spacing w:before="73"/>
        <w:ind w:left="100" w:right="5987"/>
        <w:rPr>
          <w:rFonts w:ascii="Arial"/>
        </w:rPr>
      </w:pPr>
      <w:proofErr w:type="spellStart"/>
      <w:r>
        <w:rPr>
          <w:rFonts w:ascii="Arial"/>
        </w:rPr>
        <w:t>Hanife</w:t>
      </w:r>
      <w:proofErr w:type="spellEnd"/>
      <w:r>
        <w:rPr>
          <w:rFonts w:ascii="Arial"/>
        </w:rPr>
        <w:t xml:space="preserve"> BAYKAL </w:t>
      </w:r>
      <w:r>
        <w:rPr>
          <w:rFonts w:ascii="Arial"/>
        </w:rPr>
        <w:t>Ş</w:t>
      </w:r>
      <w:r>
        <w:rPr>
          <w:rFonts w:ascii="Arial"/>
        </w:rPr>
        <w:t>AH</w:t>
      </w:r>
      <w:r>
        <w:rPr>
          <w:rFonts w:ascii="Arial"/>
        </w:rPr>
        <w:t>İ</w:t>
      </w:r>
      <w:r>
        <w:rPr>
          <w:rFonts w:ascii="Arial"/>
        </w:rPr>
        <w:t>N</w:t>
      </w:r>
      <w:r w:rsidR="005973B9">
        <w:rPr>
          <w:rFonts w:ascii="Arial"/>
        </w:rPr>
        <w:t xml:space="preserve">, </w:t>
      </w:r>
      <w:r>
        <w:rPr>
          <w:rFonts w:ascii="Arial"/>
        </w:rPr>
        <w:t>Asist. Prof., Karadeniz Technical University, T</w:t>
      </w:r>
      <w:r>
        <w:rPr>
          <w:rFonts w:ascii="Arial"/>
        </w:rPr>
        <w:t>Ü</w:t>
      </w:r>
      <w:r>
        <w:rPr>
          <w:rFonts w:ascii="Arial"/>
        </w:rPr>
        <w:t>RK</w:t>
      </w:r>
      <w:r>
        <w:rPr>
          <w:rFonts w:ascii="Arial"/>
        </w:rPr>
        <w:t>İ</w:t>
      </w:r>
      <w:r>
        <w:rPr>
          <w:rFonts w:ascii="Arial"/>
        </w:rPr>
        <w:t>YE</w:t>
      </w:r>
    </w:p>
    <w:p w14:paraId="619FDD40" w14:textId="77777777" w:rsidR="00AE3E37" w:rsidRDefault="00AE3E37" w:rsidP="00F520EB">
      <w:pPr>
        <w:pStyle w:val="GvdeMetni"/>
        <w:rPr>
          <w:rFonts w:ascii="Arial"/>
          <w:sz w:val="20"/>
        </w:rPr>
      </w:pPr>
    </w:p>
    <w:p w14:paraId="5A7F09E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6ACB0A6" w14:textId="22ED687A" w:rsidR="00AE3E37" w:rsidRDefault="00A9710C">
      <w:pPr>
        <w:pStyle w:val="Balk3"/>
        <w:spacing w:before="147"/>
        <w:jc w:val="both"/>
      </w:pPr>
      <w:r>
        <w:rPr>
          <w:color w:val="BF5A14"/>
        </w:rPr>
        <w:t>Abstract</w:t>
      </w:r>
      <w:r w:rsidR="00404E5B">
        <w:rPr>
          <w:color w:val="BF5A14"/>
        </w:rPr>
        <w:t xml:space="preserve"> </w:t>
      </w:r>
    </w:p>
    <w:p w14:paraId="6D115D4D" w14:textId="31DFC3D2" w:rsidR="00AE3E37" w:rsidRPr="00841DEE" w:rsidRDefault="00BE50DA" w:rsidP="00F520EB">
      <w:pPr>
        <w:spacing w:before="100" w:beforeAutospacing="1" w:after="100" w:afterAutospacing="1" w:line="360" w:lineRule="auto"/>
        <w:jc w:val="both"/>
        <w:rPr>
          <w:rFonts w:eastAsia="Times New Roman" w:cs="Times New Roman"/>
          <w:sz w:val="18"/>
          <w:szCs w:val="18"/>
          <w:lang w:eastAsia="tr-TR"/>
        </w:rPr>
      </w:pPr>
      <w:r w:rsidRPr="00BE50DA">
        <w:rPr>
          <w:rFonts w:eastAsia="Times New Roman" w:cs="Times New Roman"/>
          <w:sz w:val="18"/>
          <w:szCs w:val="18"/>
          <w:lang w:eastAsia="tr-TR"/>
        </w:rPr>
        <w:t xml:space="preserve">Background: Lumbar spinal stenosis (LSS) is a leading cause of pain, disability, and impaired mobility in older adults. Frailty reflects reduced physiological reserve and may substantially influence functional outcomes in this population. However, the relationship between frailty and functional impairment in elderly patients with LSS has not been sufficiently characterized. Aim: To investigate the association between frailty status and pain, physical function, and disability in elderly patients with </w:t>
      </w:r>
      <w:r w:rsidR="00841DEE">
        <w:rPr>
          <w:rFonts w:eastAsia="Times New Roman" w:cs="Times New Roman"/>
          <w:sz w:val="18"/>
          <w:szCs w:val="18"/>
          <w:lang w:eastAsia="tr-TR"/>
        </w:rPr>
        <w:t>LSS</w:t>
      </w:r>
      <w:r w:rsidRPr="00BE50DA">
        <w:rPr>
          <w:rFonts w:eastAsia="Times New Roman" w:cs="Times New Roman"/>
          <w:sz w:val="18"/>
          <w:szCs w:val="18"/>
          <w:lang w:eastAsia="tr-TR"/>
        </w:rPr>
        <w:t xml:space="preserve">. Methodology: This cross-sectional study included 107 patients aged ≥65 years with clinically diagnosed </w:t>
      </w:r>
      <w:r w:rsidR="00841DEE">
        <w:rPr>
          <w:rFonts w:eastAsia="Times New Roman" w:cs="Times New Roman"/>
          <w:sz w:val="18"/>
          <w:szCs w:val="18"/>
          <w:lang w:eastAsia="tr-TR"/>
        </w:rPr>
        <w:t>LSS</w:t>
      </w:r>
      <w:r w:rsidRPr="00BE50DA">
        <w:rPr>
          <w:rFonts w:eastAsia="Times New Roman" w:cs="Times New Roman"/>
          <w:sz w:val="18"/>
          <w:szCs w:val="18"/>
          <w:lang w:eastAsia="tr-TR"/>
        </w:rPr>
        <w:t xml:space="preserve">. Frailty was assessed using the Clinical Frailty Scale (CFS) and patients were categorized as non-frail (CFS 1–4) or frail (CFS ≥5). Pain severity was evaluated using visual analog scales (VAS) for low back pain, leg pain, and numbness. Physical function was assessed with the 6-minute walk test (6MWT) and hand-grip strength. Disability was measured using the </w:t>
      </w:r>
      <w:proofErr w:type="spellStart"/>
      <w:r w:rsidRPr="00BE50DA">
        <w:rPr>
          <w:rFonts w:eastAsia="Times New Roman" w:cs="Times New Roman"/>
          <w:sz w:val="18"/>
          <w:szCs w:val="18"/>
          <w:lang w:eastAsia="tr-TR"/>
        </w:rPr>
        <w:t>Oswestry</w:t>
      </w:r>
      <w:proofErr w:type="spellEnd"/>
      <w:r w:rsidRPr="00BE50DA">
        <w:rPr>
          <w:rFonts w:eastAsia="Times New Roman" w:cs="Times New Roman"/>
          <w:sz w:val="18"/>
          <w:szCs w:val="18"/>
          <w:lang w:eastAsia="tr-TR"/>
        </w:rPr>
        <w:t xml:space="preserve"> Disability Index (ODI). Multivariable linear regression analyses were performed to examine the independent association of frailty with ODI and 6MWT after adjustment for age, sex, and body mass index. Results: The mean age was 71.8 ± 5.8 years, and 68.2% of participants were female. Frail patients (n=46) were older, more frequently female, had longer disease duration, higher pain scores, lower walking distance, reduced hand-grip strength, and greater disability compared with non-frail patients (all p&lt;0.01). In multivariable analyses, frailty was independently associated with higher disability (</w:t>
      </w:r>
      <w:r w:rsidRPr="00BE50DA">
        <w:rPr>
          <w:rFonts w:ascii="Calibri" w:eastAsia="Times New Roman" w:hAnsi="Calibri" w:cs="Calibri"/>
          <w:sz w:val="18"/>
          <w:szCs w:val="18"/>
          <w:lang w:eastAsia="tr-TR"/>
        </w:rPr>
        <w:t>β</w:t>
      </w:r>
      <w:r w:rsidRPr="00BE50DA">
        <w:rPr>
          <w:rFonts w:eastAsia="Times New Roman" w:cs="Times New Roman"/>
          <w:sz w:val="18"/>
          <w:szCs w:val="18"/>
          <w:lang w:eastAsia="tr-TR"/>
        </w:rPr>
        <w:t>=+18.9, 95% CI 12.9</w:t>
      </w:r>
      <w:r w:rsidRPr="00BE50DA">
        <w:rPr>
          <w:rFonts w:eastAsia="Times New Roman"/>
          <w:sz w:val="18"/>
          <w:szCs w:val="18"/>
          <w:lang w:eastAsia="tr-TR"/>
        </w:rPr>
        <w:t>–</w:t>
      </w:r>
      <w:r w:rsidRPr="00BE50DA">
        <w:rPr>
          <w:rFonts w:eastAsia="Times New Roman" w:cs="Times New Roman"/>
          <w:sz w:val="18"/>
          <w:szCs w:val="18"/>
          <w:lang w:eastAsia="tr-TR"/>
        </w:rPr>
        <w:t xml:space="preserve">25.0; p&lt;0.001) and reduced </w:t>
      </w:r>
      <w:r w:rsidR="00841DEE">
        <w:rPr>
          <w:rFonts w:eastAsia="Times New Roman" w:cs="Times New Roman"/>
          <w:sz w:val="18"/>
          <w:szCs w:val="18"/>
          <w:lang w:eastAsia="tr-TR"/>
        </w:rPr>
        <w:t>physical function</w:t>
      </w:r>
      <w:r w:rsidRPr="00BE50DA">
        <w:rPr>
          <w:rFonts w:eastAsia="Times New Roman" w:cs="Times New Roman"/>
          <w:sz w:val="18"/>
          <w:szCs w:val="18"/>
          <w:lang w:eastAsia="tr-TR"/>
        </w:rPr>
        <w:t xml:space="preserve"> (</w:t>
      </w:r>
      <w:r w:rsidRPr="00BE50DA">
        <w:rPr>
          <w:rFonts w:ascii="Calibri" w:eastAsia="Times New Roman" w:hAnsi="Calibri" w:cs="Calibri"/>
          <w:sz w:val="18"/>
          <w:szCs w:val="18"/>
          <w:lang w:eastAsia="tr-TR"/>
        </w:rPr>
        <w:t>β</w:t>
      </w:r>
      <w:r w:rsidRPr="00BE50DA">
        <w:rPr>
          <w:rFonts w:eastAsia="Times New Roman" w:cs="Times New Roman"/>
          <w:sz w:val="18"/>
          <w:szCs w:val="18"/>
          <w:lang w:eastAsia="tr-TR"/>
        </w:rPr>
        <w:t>=</w:t>
      </w:r>
      <w:r w:rsidRPr="00BE50DA">
        <w:rPr>
          <w:rFonts w:ascii="Arial" w:eastAsia="Times New Roman" w:hAnsi="Arial" w:cs="Arial"/>
          <w:sz w:val="18"/>
          <w:szCs w:val="18"/>
          <w:lang w:eastAsia="tr-TR"/>
        </w:rPr>
        <w:t>−</w:t>
      </w:r>
      <w:r w:rsidRPr="00BE50DA">
        <w:rPr>
          <w:rFonts w:eastAsia="Times New Roman" w:cs="Times New Roman"/>
          <w:sz w:val="18"/>
          <w:szCs w:val="18"/>
          <w:lang w:eastAsia="tr-TR"/>
        </w:rPr>
        <w:t xml:space="preserve">110.6 m, 95% CI </w:t>
      </w:r>
      <w:r w:rsidRPr="00BE50DA">
        <w:rPr>
          <w:rFonts w:ascii="Arial" w:eastAsia="Times New Roman" w:hAnsi="Arial" w:cs="Arial"/>
          <w:sz w:val="18"/>
          <w:szCs w:val="18"/>
          <w:lang w:eastAsia="tr-TR"/>
        </w:rPr>
        <w:t>−</w:t>
      </w:r>
      <w:r w:rsidRPr="00BE50DA">
        <w:rPr>
          <w:rFonts w:eastAsia="Times New Roman" w:cs="Times New Roman"/>
          <w:sz w:val="18"/>
          <w:szCs w:val="18"/>
          <w:lang w:eastAsia="tr-TR"/>
        </w:rPr>
        <w:t xml:space="preserve">151.6 to </w:t>
      </w:r>
      <w:r w:rsidRPr="00BE50DA">
        <w:rPr>
          <w:rFonts w:ascii="Arial" w:eastAsia="Times New Roman" w:hAnsi="Arial" w:cs="Arial"/>
          <w:sz w:val="18"/>
          <w:szCs w:val="18"/>
          <w:lang w:eastAsia="tr-TR"/>
        </w:rPr>
        <w:t>−</w:t>
      </w:r>
      <w:r w:rsidRPr="00BE50DA">
        <w:rPr>
          <w:rFonts w:eastAsia="Times New Roman" w:cs="Times New Roman"/>
          <w:sz w:val="18"/>
          <w:szCs w:val="18"/>
          <w:lang w:eastAsia="tr-TR"/>
        </w:rPr>
        <w:t>69.6; p&lt;0.001). Both models demonstrated good explanatory power (adjusted R</w:t>
      </w:r>
      <w:r w:rsidRPr="00BE50DA">
        <w:rPr>
          <w:rFonts w:eastAsia="Times New Roman"/>
          <w:sz w:val="18"/>
          <w:szCs w:val="18"/>
          <w:lang w:eastAsia="tr-TR"/>
        </w:rPr>
        <w:t>²</w:t>
      </w:r>
      <w:r w:rsidRPr="00BE50DA">
        <w:rPr>
          <w:rFonts w:eastAsia="Times New Roman" w:cs="Times New Roman"/>
          <w:sz w:val="18"/>
          <w:szCs w:val="18"/>
          <w:lang w:eastAsia="tr-TR"/>
        </w:rPr>
        <w:t xml:space="preserve">=0.57 for ODI and 0.51 for 6MWT). </w:t>
      </w:r>
      <w:proofErr w:type="spellStart"/>
      <w:r w:rsidRPr="00BE50DA">
        <w:rPr>
          <w:rFonts w:eastAsia="Times New Roman" w:cs="Times New Roman"/>
          <w:sz w:val="18"/>
          <w:szCs w:val="18"/>
          <w:lang w:eastAsia="tr-TR"/>
        </w:rPr>
        <w:t>Conclusion&amp;Significance</w:t>
      </w:r>
      <w:proofErr w:type="spellEnd"/>
      <w:r w:rsidRPr="00BE50DA">
        <w:rPr>
          <w:rFonts w:eastAsia="Times New Roman" w:cs="Times New Roman"/>
          <w:sz w:val="18"/>
          <w:szCs w:val="18"/>
          <w:lang w:eastAsia="tr-TR"/>
        </w:rPr>
        <w:t xml:space="preserve">: Frailty is a strong and independent determinant of disability severity and </w:t>
      </w:r>
      <w:r w:rsidR="00841DEE">
        <w:rPr>
          <w:rFonts w:eastAsia="Times New Roman" w:cs="Times New Roman"/>
          <w:sz w:val="18"/>
          <w:szCs w:val="18"/>
          <w:lang w:eastAsia="tr-TR"/>
        </w:rPr>
        <w:t>physical function</w:t>
      </w:r>
      <w:r w:rsidR="00841DEE" w:rsidRPr="00BE50DA">
        <w:rPr>
          <w:rFonts w:eastAsia="Times New Roman" w:cs="Times New Roman"/>
          <w:sz w:val="18"/>
          <w:szCs w:val="18"/>
          <w:lang w:eastAsia="tr-TR"/>
        </w:rPr>
        <w:t xml:space="preserve"> </w:t>
      </w:r>
      <w:r w:rsidRPr="00BE50DA">
        <w:rPr>
          <w:rFonts w:eastAsia="Times New Roman" w:cs="Times New Roman"/>
          <w:sz w:val="18"/>
          <w:szCs w:val="18"/>
          <w:lang w:eastAsia="tr-TR"/>
        </w:rPr>
        <w:t xml:space="preserve">in elderly patients with </w:t>
      </w:r>
      <w:r w:rsidR="00841DEE">
        <w:rPr>
          <w:rFonts w:eastAsia="Times New Roman" w:cs="Times New Roman"/>
          <w:sz w:val="18"/>
          <w:szCs w:val="18"/>
          <w:lang w:eastAsia="tr-TR"/>
        </w:rPr>
        <w:t>LSS</w:t>
      </w:r>
      <w:r w:rsidRPr="00BE50DA">
        <w:rPr>
          <w:rFonts w:eastAsia="Times New Roman" w:cs="Times New Roman"/>
          <w:sz w:val="18"/>
          <w:szCs w:val="18"/>
          <w:lang w:eastAsia="tr-TR"/>
        </w:rPr>
        <w:t>. Routine frailty assessment may improve risk stratification and help guide individualized management and rehabilitation strategies in this population.</w:t>
      </w:r>
    </w:p>
    <w:p w14:paraId="12BDB7EF" w14:textId="791FD2A4" w:rsidR="003C52B6" w:rsidRPr="003C52B6" w:rsidRDefault="003C52B6" w:rsidP="003C52B6">
      <w:pPr>
        <w:pStyle w:val="GvdeMetni"/>
        <w:spacing w:before="2"/>
        <w:rPr>
          <w:noProof/>
          <w:lang w:val="tr-TR" w:eastAsia="en-IN"/>
        </w:rPr>
      </w:pPr>
      <w:r w:rsidRPr="003C52B6">
        <w:rPr>
          <w:noProof/>
          <w:lang w:val="tr-TR" w:eastAsia="en-IN"/>
        </w:rPr>
        <w:drawing>
          <wp:inline distT="0" distB="0" distL="0" distR="0" wp14:anchorId="037AA2A1" wp14:editId="5C5DA5AE">
            <wp:extent cx="2828925" cy="3390900"/>
            <wp:effectExtent l="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115" r="5516" b="13547"/>
                    <a:stretch/>
                  </pic:blipFill>
                  <pic:spPr bwMode="auto">
                    <a:xfrm>
                      <a:off x="0" y="0"/>
                      <a:ext cx="2828925" cy="3390900"/>
                    </a:xfrm>
                    <a:prstGeom prst="rect">
                      <a:avLst/>
                    </a:prstGeom>
                    <a:noFill/>
                    <a:ln>
                      <a:noFill/>
                    </a:ln>
                    <a:extLst>
                      <a:ext uri="{53640926-AAD7-44D8-BBD7-CCE9431645EC}">
                        <a14:shadowObscured xmlns:a14="http://schemas.microsoft.com/office/drawing/2010/main"/>
                      </a:ext>
                    </a:extLst>
                  </pic:spPr>
                </pic:pic>
              </a:graphicData>
            </a:graphic>
          </wp:inline>
        </w:drawing>
      </w:r>
    </w:p>
    <w:p w14:paraId="4E353F65" w14:textId="1AFB3A0C" w:rsidR="00AE3E37" w:rsidRDefault="00AE3E37" w:rsidP="00841DEE">
      <w:pPr>
        <w:pStyle w:val="GvdeMetni"/>
        <w:spacing w:before="2"/>
        <w:rPr>
          <w:rFonts w:ascii="Arial"/>
          <w:b/>
          <w:sz w:val="16"/>
        </w:rPr>
      </w:pPr>
    </w:p>
    <w:p w14:paraId="6BCDD93C" w14:textId="181017FA" w:rsidR="005973B9" w:rsidRDefault="005973B9" w:rsidP="00841DEE">
      <w:pPr>
        <w:rPr>
          <w:rFonts w:ascii="Arial"/>
          <w:b/>
          <w:sz w:val="20"/>
        </w:rPr>
      </w:pPr>
      <w:r>
        <w:rPr>
          <w:rFonts w:ascii="Arial"/>
          <w:b/>
          <w:color w:val="BF5A14"/>
          <w:sz w:val="20"/>
        </w:rPr>
        <w:br/>
        <w:t>Recent Publications</w:t>
      </w:r>
    </w:p>
    <w:p w14:paraId="5313C0F1" w14:textId="353E4946" w:rsidR="005973B9" w:rsidRPr="00F520EB" w:rsidRDefault="00CB7910" w:rsidP="005973B9">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r w:rsidRPr="00F520EB">
        <w:rPr>
          <w:rFonts w:asciiTheme="minorHAnsi" w:hAnsiTheme="minorHAnsi" w:cstheme="minorHAnsi"/>
          <w:color w:val="212121"/>
          <w:sz w:val="18"/>
          <w:szCs w:val="18"/>
          <w:shd w:val="clear" w:color="auto" w:fill="FFFFFF"/>
        </w:rPr>
        <w:t xml:space="preserve">Kim, H. J., Park, S., Park, S. H., </w:t>
      </w:r>
      <w:r w:rsidRPr="00F520EB">
        <w:rPr>
          <w:rFonts w:asciiTheme="minorHAnsi" w:hAnsiTheme="minorHAnsi" w:cstheme="minorHAnsi"/>
          <w:color w:val="212121"/>
          <w:sz w:val="18"/>
          <w:szCs w:val="18"/>
          <w:shd w:val="clear" w:color="auto" w:fill="FFFFFF"/>
        </w:rPr>
        <w:t>et al</w:t>
      </w:r>
      <w:r w:rsidRPr="00F520EB">
        <w:rPr>
          <w:rFonts w:asciiTheme="minorHAnsi" w:hAnsiTheme="minorHAnsi" w:cstheme="minorHAnsi"/>
          <w:color w:val="212121"/>
          <w:sz w:val="18"/>
          <w:szCs w:val="18"/>
          <w:shd w:val="clear" w:color="auto" w:fill="FFFFFF"/>
        </w:rPr>
        <w:t xml:space="preserve"> (2019). The prevalence and impact of frailty in patients with symptomatic lumbar spinal stenosis. </w:t>
      </w:r>
      <w:r w:rsidRPr="00F520EB">
        <w:rPr>
          <w:rFonts w:asciiTheme="minorHAnsi" w:hAnsiTheme="minorHAnsi" w:cstheme="minorHAnsi"/>
          <w:i/>
          <w:iCs/>
          <w:color w:val="212121"/>
          <w:sz w:val="18"/>
          <w:szCs w:val="18"/>
          <w:shd w:val="clear" w:color="auto" w:fill="FFFFFF"/>
        </w:rPr>
        <w:t>European spine journal</w:t>
      </w:r>
      <w:r w:rsidRPr="00F520EB">
        <w:rPr>
          <w:rFonts w:asciiTheme="minorHAnsi" w:hAnsiTheme="minorHAnsi" w:cstheme="minorHAnsi"/>
          <w:color w:val="212121"/>
          <w:sz w:val="18"/>
          <w:szCs w:val="18"/>
          <w:shd w:val="clear" w:color="auto" w:fill="FFFFFF"/>
        </w:rPr>
        <w:t> </w:t>
      </w:r>
      <w:r w:rsidRPr="00F520EB">
        <w:rPr>
          <w:rFonts w:asciiTheme="minorHAnsi" w:hAnsiTheme="minorHAnsi" w:cstheme="minorHAnsi"/>
          <w:i/>
          <w:iCs/>
          <w:color w:val="212121"/>
          <w:sz w:val="18"/>
          <w:szCs w:val="18"/>
          <w:shd w:val="clear" w:color="auto" w:fill="FFFFFF"/>
        </w:rPr>
        <w:t>28</w:t>
      </w:r>
      <w:r w:rsidRPr="00F520EB">
        <w:rPr>
          <w:rFonts w:asciiTheme="minorHAnsi" w:hAnsiTheme="minorHAnsi" w:cstheme="minorHAnsi"/>
          <w:color w:val="212121"/>
          <w:sz w:val="18"/>
          <w:szCs w:val="18"/>
          <w:shd w:val="clear" w:color="auto" w:fill="FFFFFF"/>
        </w:rPr>
        <w:t>(1), 46–54.</w:t>
      </w:r>
    </w:p>
    <w:p w14:paraId="523DCD35" w14:textId="7F5A2533" w:rsidR="00CB7910" w:rsidRPr="00F520EB" w:rsidRDefault="00CB7910" w:rsidP="005973B9">
      <w:pPr>
        <w:pStyle w:val="ListeParagraf"/>
        <w:numPr>
          <w:ilvl w:val="0"/>
          <w:numId w:val="3"/>
        </w:numPr>
        <w:tabs>
          <w:tab w:val="left" w:pos="384"/>
        </w:tabs>
        <w:spacing w:line="216" w:lineRule="exact"/>
        <w:ind w:right="138" w:hanging="283"/>
        <w:rPr>
          <w:rFonts w:asciiTheme="minorHAnsi" w:hAnsiTheme="minorHAnsi" w:cstheme="minorHAnsi"/>
          <w:sz w:val="18"/>
          <w:szCs w:val="18"/>
        </w:rPr>
      </w:pPr>
      <w:r w:rsidRPr="00F520EB">
        <w:rPr>
          <w:rFonts w:asciiTheme="minorHAnsi" w:hAnsiTheme="minorHAnsi" w:cstheme="minorHAnsi"/>
          <w:color w:val="212121"/>
          <w:sz w:val="18"/>
          <w:szCs w:val="18"/>
          <w:shd w:val="clear" w:color="auto" w:fill="FFFFFF"/>
        </w:rPr>
        <w:t xml:space="preserve">Nagai, S., Kawabata, S., </w:t>
      </w:r>
      <w:proofErr w:type="spellStart"/>
      <w:r w:rsidRPr="00F520EB">
        <w:rPr>
          <w:rFonts w:asciiTheme="minorHAnsi" w:hAnsiTheme="minorHAnsi" w:cstheme="minorHAnsi"/>
          <w:color w:val="212121"/>
          <w:sz w:val="18"/>
          <w:szCs w:val="18"/>
          <w:shd w:val="clear" w:color="auto" w:fill="FFFFFF"/>
        </w:rPr>
        <w:t>Michikawa</w:t>
      </w:r>
      <w:proofErr w:type="spellEnd"/>
      <w:r w:rsidRPr="00F520EB">
        <w:rPr>
          <w:rFonts w:asciiTheme="minorHAnsi" w:hAnsiTheme="minorHAnsi" w:cstheme="minorHAnsi"/>
          <w:color w:val="212121"/>
          <w:sz w:val="18"/>
          <w:szCs w:val="18"/>
          <w:shd w:val="clear" w:color="auto" w:fill="FFFFFF"/>
        </w:rPr>
        <w:t xml:space="preserve">, T., </w:t>
      </w:r>
      <w:r w:rsidRPr="00F520EB">
        <w:rPr>
          <w:rFonts w:asciiTheme="minorHAnsi" w:hAnsiTheme="minorHAnsi" w:cstheme="minorHAnsi"/>
          <w:color w:val="212121"/>
          <w:sz w:val="18"/>
          <w:szCs w:val="18"/>
          <w:shd w:val="clear" w:color="auto" w:fill="FFFFFF"/>
        </w:rPr>
        <w:t>et al</w:t>
      </w:r>
      <w:r w:rsidRPr="00F520EB">
        <w:rPr>
          <w:rFonts w:asciiTheme="minorHAnsi" w:hAnsiTheme="minorHAnsi" w:cstheme="minorHAnsi"/>
          <w:color w:val="212121"/>
          <w:sz w:val="18"/>
          <w:szCs w:val="18"/>
          <w:shd w:val="clear" w:color="auto" w:fill="FFFFFF"/>
        </w:rPr>
        <w:t xml:space="preserve"> (2024). Association between frailty and locomotive syndrome in elderly patients with lumbar spinal stenosis: A retrospective longitudinal analysis. </w:t>
      </w:r>
      <w:proofErr w:type="spellStart"/>
      <w:r w:rsidRPr="00F520EB">
        <w:rPr>
          <w:rFonts w:asciiTheme="minorHAnsi" w:hAnsiTheme="minorHAnsi" w:cstheme="minorHAnsi"/>
          <w:i/>
          <w:iCs/>
          <w:color w:val="212121"/>
          <w:sz w:val="18"/>
          <w:szCs w:val="18"/>
          <w:shd w:val="clear" w:color="auto" w:fill="FFFFFF"/>
        </w:rPr>
        <w:t>Geriatrics&amp;gerontology</w:t>
      </w:r>
      <w:proofErr w:type="spellEnd"/>
      <w:r w:rsidRPr="00F520EB">
        <w:rPr>
          <w:rFonts w:asciiTheme="minorHAnsi" w:hAnsiTheme="minorHAnsi" w:cstheme="minorHAnsi"/>
          <w:i/>
          <w:iCs/>
          <w:color w:val="212121"/>
          <w:sz w:val="18"/>
          <w:szCs w:val="18"/>
          <w:shd w:val="clear" w:color="auto" w:fill="FFFFFF"/>
        </w:rPr>
        <w:t xml:space="preserve"> </w:t>
      </w:r>
      <w:r w:rsidRPr="00F520EB">
        <w:rPr>
          <w:rFonts w:asciiTheme="minorHAnsi" w:hAnsiTheme="minorHAnsi" w:cstheme="minorHAnsi"/>
          <w:i/>
          <w:iCs/>
          <w:color w:val="212121"/>
          <w:sz w:val="18"/>
          <w:szCs w:val="18"/>
          <w:shd w:val="clear" w:color="auto" w:fill="FFFFFF"/>
        </w:rPr>
        <w:t>international</w:t>
      </w:r>
      <w:r w:rsidRPr="00F520EB">
        <w:rPr>
          <w:rFonts w:asciiTheme="minorHAnsi" w:hAnsiTheme="minorHAnsi" w:cstheme="minorHAnsi"/>
          <w:color w:val="212121"/>
          <w:sz w:val="18"/>
          <w:szCs w:val="18"/>
          <w:shd w:val="clear" w:color="auto" w:fill="FFFFFF"/>
        </w:rPr>
        <w:t>, </w:t>
      </w:r>
      <w:r w:rsidRPr="00F520EB">
        <w:rPr>
          <w:rFonts w:asciiTheme="minorHAnsi" w:hAnsiTheme="minorHAnsi" w:cstheme="minorHAnsi"/>
          <w:i/>
          <w:iCs/>
          <w:color w:val="212121"/>
          <w:sz w:val="18"/>
          <w:szCs w:val="18"/>
          <w:shd w:val="clear" w:color="auto" w:fill="FFFFFF"/>
        </w:rPr>
        <w:t>24</w:t>
      </w:r>
      <w:r w:rsidRPr="00F520EB">
        <w:rPr>
          <w:rFonts w:asciiTheme="minorHAnsi" w:hAnsiTheme="minorHAnsi" w:cstheme="minorHAnsi"/>
          <w:color w:val="212121"/>
          <w:sz w:val="18"/>
          <w:szCs w:val="18"/>
          <w:shd w:val="clear" w:color="auto" w:fill="FFFFFF"/>
        </w:rPr>
        <w:t xml:space="preserve">(1), 116–122. </w:t>
      </w:r>
    </w:p>
    <w:p w14:paraId="55FF4D25" w14:textId="23C66B4D" w:rsidR="00CB7910" w:rsidRPr="00F520EB" w:rsidRDefault="00CB7910" w:rsidP="005973B9">
      <w:pPr>
        <w:pStyle w:val="ListeParagraf"/>
        <w:numPr>
          <w:ilvl w:val="0"/>
          <w:numId w:val="3"/>
        </w:numPr>
        <w:tabs>
          <w:tab w:val="left" w:pos="384"/>
        </w:tabs>
        <w:spacing w:line="216" w:lineRule="exact"/>
        <w:ind w:right="138" w:hanging="283"/>
        <w:rPr>
          <w:rFonts w:asciiTheme="minorHAnsi" w:hAnsiTheme="minorHAnsi" w:cstheme="minorHAnsi"/>
          <w:sz w:val="18"/>
          <w:szCs w:val="18"/>
        </w:rPr>
      </w:pPr>
      <w:r w:rsidRPr="00F520EB">
        <w:rPr>
          <w:rFonts w:asciiTheme="minorHAnsi" w:hAnsiTheme="minorHAnsi" w:cstheme="minorHAnsi"/>
          <w:color w:val="212121"/>
          <w:sz w:val="18"/>
          <w:szCs w:val="18"/>
          <w:shd w:val="clear" w:color="auto" w:fill="FFFFFF"/>
        </w:rPr>
        <w:t xml:space="preserve">Sugimoto, S., Nagai, S., Ito, </w:t>
      </w:r>
      <w:r w:rsidRPr="00F520EB">
        <w:rPr>
          <w:rFonts w:asciiTheme="minorHAnsi" w:hAnsiTheme="minorHAnsi" w:cstheme="minorHAnsi"/>
          <w:color w:val="212121"/>
          <w:sz w:val="18"/>
          <w:szCs w:val="18"/>
          <w:shd w:val="clear" w:color="auto" w:fill="FFFFFF"/>
        </w:rPr>
        <w:t xml:space="preserve">et al </w:t>
      </w:r>
      <w:r w:rsidRPr="00F520EB">
        <w:rPr>
          <w:rFonts w:asciiTheme="minorHAnsi" w:hAnsiTheme="minorHAnsi" w:cstheme="minorHAnsi"/>
          <w:color w:val="212121"/>
          <w:sz w:val="18"/>
          <w:szCs w:val="18"/>
          <w:shd w:val="clear" w:color="auto" w:fill="FFFFFF"/>
        </w:rPr>
        <w:t>(2023). The Impact of Frailty on Surgical Outcome of Patients with Lumbar Spinal Canal Stenosis. </w:t>
      </w:r>
      <w:r w:rsidRPr="00F520EB">
        <w:rPr>
          <w:rFonts w:asciiTheme="minorHAnsi" w:hAnsiTheme="minorHAnsi" w:cstheme="minorHAnsi"/>
          <w:i/>
          <w:iCs/>
          <w:color w:val="212121"/>
          <w:sz w:val="18"/>
          <w:szCs w:val="18"/>
          <w:shd w:val="clear" w:color="auto" w:fill="FFFFFF"/>
        </w:rPr>
        <w:t>Spine surgery and related research</w:t>
      </w:r>
      <w:r w:rsidRPr="00F520EB">
        <w:rPr>
          <w:rFonts w:asciiTheme="minorHAnsi" w:hAnsiTheme="minorHAnsi" w:cstheme="minorHAnsi"/>
          <w:color w:val="212121"/>
          <w:sz w:val="18"/>
          <w:szCs w:val="18"/>
          <w:shd w:val="clear" w:color="auto" w:fill="FFFFFF"/>
        </w:rPr>
        <w:t>, </w:t>
      </w:r>
      <w:r w:rsidRPr="00F520EB">
        <w:rPr>
          <w:rFonts w:asciiTheme="minorHAnsi" w:hAnsiTheme="minorHAnsi" w:cstheme="minorHAnsi"/>
          <w:i/>
          <w:iCs/>
          <w:color w:val="212121"/>
          <w:sz w:val="18"/>
          <w:szCs w:val="18"/>
          <w:shd w:val="clear" w:color="auto" w:fill="FFFFFF"/>
        </w:rPr>
        <w:t>8</w:t>
      </w:r>
      <w:r w:rsidRPr="00F520EB">
        <w:rPr>
          <w:rFonts w:asciiTheme="minorHAnsi" w:hAnsiTheme="minorHAnsi" w:cstheme="minorHAnsi"/>
          <w:color w:val="212121"/>
          <w:sz w:val="18"/>
          <w:szCs w:val="18"/>
          <w:shd w:val="clear" w:color="auto" w:fill="FFFFFF"/>
        </w:rPr>
        <w:t>(2), 188–194.</w:t>
      </w:r>
    </w:p>
    <w:p w14:paraId="49765BE0" w14:textId="25E6E5B4" w:rsidR="00CB7910" w:rsidRPr="00F520EB" w:rsidRDefault="00CB7910" w:rsidP="005973B9">
      <w:pPr>
        <w:pStyle w:val="ListeParagraf"/>
        <w:numPr>
          <w:ilvl w:val="0"/>
          <w:numId w:val="3"/>
        </w:numPr>
        <w:tabs>
          <w:tab w:val="left" w:pos="384"/>
        </w:tabs>
        <w:spacing w:before="92" w:line="218" w:lineRule="exact"/>
        <w:ind w:hanging="283"/>
        <w:rPr>
          <w:rFonts w:asciiTheme="minorHAnsi" w:hAnsiTheme="minorHAnsi" w:cstheme="minorHAnsi"/>
          <w:sz w:val="18"/>
          <w:szCs w:val="18"/>
        </w:rPr>
      </w:pPr>
      <w:r w:rsidRPr="00F520EB">
        <w:rPr>
          <w:rFonts w:asciiTheme="minorHAnsi" w:hAnsiTheme="minorHAnsi" w:cstheme="minorHAnsi"/>
          <w:color w:val="212121"/>
          <w:sz w:val="18"/>
          <w:szCs w:val="18"/>
          <w:shd w:val="clear" w:color="auto" w:fill="FFFFFF"/>
        </w:rPr>
        <w:t xml:space="preserve">Chan, V., Wilson, J. R. F., </w:t>
      </w:r>
      <w:proofErr w:type="spellStart"/>
      <w:r w:rsidRPr="00F520EB">
        <w:rPr>
          <w:rFonts w:asciiTheme="minorHAnsi" w:hAnsiTheme="minorHAnsi" w:cstheme="minorHAnsi"/>
          <w:color w:val="212121"/>
          <w:sz w:val="18"/>
          <w:szCs w:val="18"/>
          <w:shd w:val="clear" w:color="auto" w:fill="FFFFFF"/>
        </w:rPr>
        <w:t>Ravinsky</w:t>
      </w:r>
      <w:proofErr w:type="spellEnd"/>
      <w:r w:rsidRPr="00F520EB">
        <w:rPr>
          <w:rFonts w:asciiTheme="minorHAnsi" w:hAnsiTheme="minorHAnsi" w:cstheme="minorHAnsi"/>
          <w:color w:val="212121"/>
          <w:sz w:val="18"/>
          <w:szCs w:val="18"/>
          <w:shd w:val="clear" w:color="auto" w:fill="FFFFFF"/>
        </w:rPr>
        <w:t xml:space="preserve">, R., </w:t>
      </w:r>
      <w:r w:rsidRPr="00F520EB">
        <w:rPr>
          <w:rFonts w:asciiTheme="minorHAnsi" w:hAnsiTheme="minorHAnsi" w:cstheme="minorHAnsi"/>
          <w:color w:val="212121"/>
          <w:sz w:val="18"/>
          <w:szCs w:val="18"/>
          <w:shd w:val="clear" w:color="auto" w:fill="FFFFFF"/>
        </w:rPr>
        <w:t xml:space="preserve">et al </w:t>
      </w:r>
      <w:r w:rsidRPr="00F520EB">
        <w:rPr>
          <w:rFonts w:asciiTheme="minorHAnsi" w:hAnsiTheme="minorHAnsi" w:cstheme="minorHAnsi"/>
          <w:color w:val="212121"/>
          <w:sz w:val="18"/>
          <w:szCs w:val="18"/>
          <w:shd w:val="clear" w:color="auto" w:fill="FFFFFF"/>
        </w:rPr>
        <w:t>(2021). Frailty adversely affects outcomes of patients undergoing spine surgery: a systematic review. </w:t>
      </w:r>
      <w:r w:rsidRPr="00F520EB">
        <w:rPr>
          <w:rFonts w:asciiTheme="minorHAnsi" w:hAnsiTheme="minorHAnsi" w:cstheme="minorHAnsi"/>
          <w:i/>
          <w:iCs/>
          <w:color w:val="212121"/>
          <w:sz w:val="18"/>
          <w:szCs w:val="18"/>
          <w:shd w:val="clear" w:color="auto" w:fill="FFFFFF"/>
        </w:rPr>
        <w:t xml:space="preserve">The spine </w:t>
      </w:r>
      <w:proofErr w:type="gramStart"/>
      <w:r w:rsidRPr="00F520EB">
        <w:rPr>
          <w:rFonts w:asciiTheme="minorHAnsi" w:hAnsiTheme="minorHAnsi" w:cstheme="minorHAnsi"/>
          <w:i/>
          <w:iCs/>
          <w:color w:val="212121"/>
          <w:sz w:val="18"/>
          <w:szCs w:val="18"/>
          <w:shd w:val="clear" w:color="auto" w:fill="FFFFFF"/>
        </w:rPr>
        <w:t>journal :</w:t>
      </w:r>
      <w:proofErr w:type="gramEnd"/>
      <w:r w:rsidRPr="00F520EB">
        <w:rPr>
          <w:rFonts w:asciiTheme="minorHAnsi" w:hAnsiTheme="minorHAnsi" w:cstheme="minorHAnsi"/>
          <w:i/>
          <w:iCs/>
          <w:color w:val="212121"/>
          <w:sz w:val="18"/>
          <w:szCs w:val="18"/>
          <w:shd w:val="clear" w:color="auto" w:fill="FFFFFF"/>
        </w:rPr>
        <w:t xml:space="preserve"> official journal of the North American Spine Society</w:t>
      </w:r>
      <w:r w:rsidRPr="00F520EB">
        <w:rPr>
          <w:rFonts w:asciiTheme="minorHAnsi" w:hAnsiTheme="minorHAnsi" w:cstheme="minorHAnsi"/>
          <w:color w:val="212121"/>
          <w:sz w:val="18"/>
          <w:szCs w:val="18"/>
          <w:shd w:val="clear" w:color="auto" w:fill="FFFFFF"/>
        </w:rPr>
        <w:t>, </w:t>
      </w:r>
      <w:r w:rsidRPr="00F520EB">
        <w:rPr>
          <w:rFonts w:asciiTheme="minorHAnsi" w:hAnsiTheme="minorHAnsi" w:cstheme="minorHAnsi"/>
          <w:i/>
          <w:iCs/>
          <w:color w:val="212121"/>
          <w:sz w:val="18"/>
          <w:szCs w:val="18"/>
          <w:shd w:val="clear" w:color="auto" w:fill="FFFFFF"/>
        </w:rPr>
        <w:t>21</w:t>
      </w:r>
      <w:r w:rsidRPr="00F520EB">
        <w:rPr>
          <w:rFonts w:asciiTheme="minorHAnsi" w:hAnsiTheme="minorHAnsi" w:cstheme="minorHAnsi"/>
          <w:color w:val="212121"/>
          <w:sz w:val="18"/>
          <w:szCs w:val="18"/>
          <w:shd w:val="clear" w:color="auto" w:fill="FFFFFF"/>
        </w:rPr>
        <w:t xml:space="preserve">(6), 988–1000. </w:t>
      </w:r>
    </w:p>
    <w:p w14:paraId="260700EF" w14:textId="468DC026" w:rsidR="00F520EB" w:rsidRPr="00F520EB" w:rsidRDefault="00F520EB" w:rsidP="005973B9">
      <w:pPr>
        <w:pStyle w:val="ListeParagraf"/>
        <w:numPr>
          <w:ilvl w:val="0"/>
          <w:numId w:val="3"/>
        </w:numPr>
        <w:tabs>
          <w:tab w:val="left" w:pos="384"/>
        </w:tabs>
        <w:spacing w:before="92" w:line="218" w:lineRule="exact"/>
        <w:ind w:hanging="283"/>
        <w:rPr>
          <w:rFonts w:asciiTheme="minorHAnsi" w:hAnsiTheme="minorHAnsi" w:cstheme="minorHAnsi"/>
          <w:sz w:val="18"/>
          <w:szCs w:val="18"/>
        </w:rPr>
      </w:pPr>
      <w:r w:rsidRPr="00F520EB">
        <w:rPr>
          <w:rFonts w:asciiTheme="minorHAnsi" w:hAnsiTheme="minorHAnsi" w:cstheme="minorHAnsi"/>
          <w:color w:val="212121"/>
          <w:sz w:val="18"/>
          <w:szCs w:val="18"/>
          <w:shd w:val="clear" w:color="auto" w:fill="FFFFFF"/>
        </w:rPr>
        <w:t xml:space="preserve">Church, S., Rogers, E., Rockwood, K., &amp; </w:t>
      </w:r>
      <w:proofErr w:type="spellStart"/>
      <w:r w:rsidRPr="00F520EB">
        <w:rPr>
          <w:rFonts w:asciiTheme="minorHAnsi" w:hAnsiTheme="minorHAnsi" w:cstheme="minorHAnsi"/>
          <w:color w:val="212121"/>
          <w:sz w:val="18"/>
          <w:szCs w:val="18"/>
          <w:shd w:val="clear" w:color="auto" w:fill="FFFFFF"/>
        </w:rPr>
        <w:t>Theou</w:t>
      </w:r>
      <w:proofErr w:type="spellEnd"/>
      <w:r w:rsidRPr="00F520EB">
        <w:rPr>
          <w:rFonts w:asciiTheme="minorHAnsi" w:hAnsiTheme="minorHAnsi" w:cstheme="minorHAnsi"/>
          <w:color w:val="212121"/>
          <w:sz w:val="18"/>
          <w:szCs w:val="18"/>
          <w:shd w:val="clear" w:color="auto" w:fill="FFFFFF"/>
        </w:rPr>
        <w:t>, O. (2020). A scoping review of the Clinical Frailty Scale. </w:t>
      </w:r>
      <w:r w:rsidRPr="00F520EB">
        <w:rPr>
          <w:rFonts w:asciiTheme="minorHAnsi" w:hAnsiTheme="minorHAnsi" w:cstheme="minorHAnsi"/>
          <w:i/>
          <w:iCs/>
          <w:color w:val="212121"/>
          <w:sz w:val="18"/>
          <w:szCs w:val="18"/>
          <w:shd w:val="clear" w:color="auto" w:fill="FFFFFF"/>
        </w:rPr>
        <w:t>BMC geriatrics</w:t>
      </w:r>
      <w:r w:rsidRPr="00F520EB">
        <w:rPr>
          <w:rFonts w:asciiTheme="minorHAnsi" w:hAnsiTheme="minorHAnsi" w:cstheme="minorHAnsi"/>
          <w:color w:val="212121"/>
          <w:sz w:val="18"/>
          <w:szCs w:val="18"/>
          <w:shd w:val="clear" w:color="auto" w:fill="FFFFFF"/>
        </w:rPr>
        <w:t>, </w:t>
      </w:r>
      <w:r w:rsidRPr="00F520EB">
        <w:rPr>
          <w:rFonts w:asciiTheme="minorHAnsi" w:hAnsiTheme="minorHAnsi" w:cstheme="minorHAnsi"/>
          <w:i/>
          <w:iCs/>
          <w:color w:val="212121"/>
          <w:sz w:val="18"/>
          <w:szCs w:val="18"/>
          <w:shd w:val="clear" w:color="auto" w:fill="FFFFFF"/>
        </w:rPr>
        <w:t>20</w:t>
      </w:r>
      <w:r w:rsidRPr="00F520EB">
        <w:rPr>
          <w:rFonts w:asciiTheme="minorHAnsi" w:hAnsiTheme="minorHAnsi" w:cstheme="minorHAnsi"/>
          <w:color w:val="212121"/>
          <w:sz w:val="18"/>
          <w:szCs w:val="18"/>
          <w:shd w:val="clear" w:color="auto" w:fill="FFFFFF"/>
        </w:rPr>
        <w:t>(1), 393.</w:t>
      </w:r>
    </w:p>
    <w:p w14:paraId="357643D6" w14:textId="77777777" w:rsidR="00AE3E37" w:rsidRPr="008756E6" w:rsidRDefault="00AE3E37" w:rsidP="008756E6">
      <w:pPr>
        <w:tabs>
          <w:tab w:val="left" w:pos="384"/>
        </w:tabs>
        <w:ind w:right="117"/>
      </w:pPr>
    </w:p>
    <w:p w14:paraId="1515324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9357BFE" w14:textId="2017EF33" w:rsidR="00AE3E37" w:rsidRPr="00D62425" w:rsidRDefault="00D62425">
      <w:pPr>
        <w:pStyle w:val="GvdeMetni"/>
        <w:rPr>
          <w:rFonts w:ascii="Calibri"/>
          <w:b/>
          <w:sz w:val="20"/>
        </w:rPr>
      </w:pPr>
      <w:r>
        <w:rPr>
          <w:rFonts w:ascii="Calibri"/>
          <w:sz w:val="20"/>
        </w:rPr>
        <w:t xml:space="preserve">                 </w:t>
      </w:r>
    </w:p>
    <w:p w14:paraId="43E2A8B3" w14:textId="77777777" w:rsidR="00AE3E37" w:rsidRDefault="00292ED9">
      <w:pPr>
        <w:pStyle w:val="GvdeMetni"/>
        <w:spacing w:line="40" w:lineRule="exact"/>
        <w:ind w:left="2202"/>
        <w:rPr>
          <w:rFonts w:ascii="Calibri"/>
          <w:sz w:val="4"/>
        </w:rPr>
      </w:pPr>
      <w:r>
        <w:rPr>
          <w:rFonts w:ascii="Calibri"/>
          <w:noProof/>
          <w:sz w:val="4"/>
          <w:lang w:val="en-IN" w:eastAsia="en-IN"/>
        </w:rPr>
        <mc:AlternateContent>
          <mc:Choice Requires="wpg">
            <w:drawing>
              <wp:inline distT="0" distB="0" distL="0" distR="0" wp14:anchorId="5887EF5A" wp14:editId="71F623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40DD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8BF4B7" w14:textId="4E2BD885" w:rsidR="005142BB" w:rsidRDefault="008756E6" w:rsidP="005142BB">
      <w:pPr>
        <w:spacing w:before="92"/>
        <w:ind w:right="4234"/>
        <w:rPr>
          <w:rFonts w:ascii="Arial"/>
        </w:rPr>
      </w:pPr>
      <w:r>
        <w:rPr>
          <w:noProof/>
        </w:rPr>
        <w:t xml:space="preserve">  </w:t>
      </w:r>
      <w:r w:rsidR="005142BB" w:rsidRPr="009326D7">
        <w:rPr>
          <w:noProof/>
          <w:lang w:val="tr-TR" w:eastAsia="en-IN"/>
        </w:rPr>
        <w:drawing>
          <wp:inline distT="0" distB="0" distL="0" distR="0" wp14:anchorId="64FA8B5E" wp14:editId="7AC18217">
            <wp:extent cx="475615" cy="640925"/>
            <wp:effectExtent l="0" t="0" r="635" b="698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855" cy="662809"/>
                    </a:xfrm>
                    <a:prstGeom prst="rect">
                      <a:avLst/>
                    </a:prstGeom>
                    <a:noFill/>
                    <a:ln>
                      <a:noFill/>
                    </a:ln>
                  </pic:spPr>
                </pic:pic>
              </a:graphicData>
            </a:graphic>
          </wp:inline>
        </w:drawing>
      </w:r>
      <w:r>
        <w:rPr>
          <w:noProof/>
        </w:rPr>
        <w:t xml:space="preserve">   </w:t>
      </w:r>
      <w:r w:rsidR="005142BB">
        <w:rPr>
          <w:rFonts w:ascii="Arial"/>
          <w:color w:val="BF5A14"/>
        </w:rPr>
        <w:t xml:space="preserve">Biography </w:t>
      </w:r>
    </w:p>
    <w:p w14:paraId="54A236E6" w14:textId="553C032D" w:rsidR="00AE3E37" w:rsidRDefault="009326D7">
      <w:pPr>
        <w:spacing w:before="41" w:line="154" w:lineRule="exact"/>
        <w:ind w:left="213" w:right="231"/>
        <w:jc w:val="both"/>
        <w:rPr>
          <w:rFonts w:ascii="Arial"/>
          <w:sz w:val="14"/>
        </w:rPr>
      </w:pPr>
      <w:r w:rsidRPr="009326D7">
        <w:rPr>
          <w:rFonts w:ascii="Arial" w:hAnsi="Arial" w:cs="Arial"/>
          <w:sz w:val="16"/>
          <w:szCs w:val="16"/>
        </w:rPr>
        <w:t xml:space="preserve">Dr. </w:t>
      </w:r>
      <w:proofErr w:type="spellStart"/>
      <w:r w:rsidRPr="009326D7">
        <w:rPr>
          <w:rStyle w:val="Gl"/>
          <w:rFonts w:ascii="Arial" w:hAnsi="Arial" w:cs="Arial"/>
          <w:b w:val="0"/>
          <w:bCs w:val="0"/>
          <w:sz w:val="16"/>
          <w:szCs w:val="16"/>
        </w:rPr>
        <w:t>Hanife</w:t>
      </w:r>
      <w:proofErr w:type="spellEnd"/>
      <w:r w:rsidRPr="009326D7">
        <w:rPr>
          <w:rStyle w:val="Gl"/>
          <w:rFonts w:ascii="Arial" w:hAnsi="Arial" w:cs="Arial"/>
          <w:b w:val="0"/>
          <w:bCs w:val="0"/>
          <w:sz w:val="16"/>
          <w:szCs w:val="16"/>
        </w:rPr>
        <w:t xml:space="preserve"> Baykal </w:t>
      </w:r>
      <w:proofErr w:type="spellStart"/>
      <w:r w:rsidRPr="009326D7">
        <w:rPr>
          <w:rStyle w:val="Gl"/>
          <w:rFonts w:ascii="Arial" w:hAnsi="Arial" w:cs="Arial"/>
          <w:b w:val="0"/>
          <w:bCs w:val="0"/>
          <w:sz w:val="16"/>
          <w:szCs w:val="16"/>
        </w:rPr>
        <w:t>Şahin</w:t>
      </w:r>
      <w:proofErr w:type="spellEnd"/>
      <w:r w:rsidRPr="009326D7">
        <w:rPr>
          <w:rFonts w:ascii="Arial" w:hAnsi="Arial" w:cs="Arial"/>
          <w:sz w:val="16"/>
          <w:szCs w:val="16"/>
        </w:rPr>
        <w:t xml:space="preserve"> is a physician specializing in Physical Medicine and Rehabilitation with a clinical and research focus on spine disorders, geriatric rehabilitation, and </w:t>
      </w:r>
      <w:r>
        <w:rPr>
          <w:rFonts w:ascii="Arial" w:hAnsi="Arial" w:cs="Arial"/>
          <w:sz w:val="16"/>
          <w:szCs w:val="16"/>
        </w:rPr>
        <w:t>cardiopulmonary rehabilitation</w:t>
      </w:r>
      <w:r w:rsidRPr="009326D7">
        <w:rPr>
          <w:rFonts w:ascii="Arial" w:hAnsi="Arial" w:cs="Arial"/>
          <w:sz w:val="16"/>
          <w:szCs w:val="16"/>
        </w:rPr>
        <w:t>. She is actively involved in clinical research evaluating functional capacity, pain, and quality of life in musculoskeletal conditions, with particular emphasis on aging populations and individualized rehabilitation strategies.</w:t>
      </w:r>
    </w:p>
    <w:p w14:paraId="66E24A17" w14:textId="01185F80" w:rsidR="00AE3E37" w:rsidRPr="009326D7" w:rsidRDefault="00A9710C" w:rsidP="009326D7">
      <w:pPr>
        <w:spacing w:before="62"/>
        <w:ind w:left="4217" w:right="4235"/>
        <w:jc w:val="center"/>
        <w:rPr>
          <w:rFonts w:ascii="Arial"/>
          <w:sz w:val="14"/>
        </w:rPr>
        <w:sectPr w:rsidR="00AE3E37" w:rsidRPr="009326D7">
          <w:type w:val="continuous"/>
          <w:pgSz w:w="11910" w:h="16840"/>
          <w:pgMar w:top="1740" w:right="600" w:bottom="840" w:left="620" w:header="720" w:footer="720" w:gutter="0"/>
          <w:cols w:space="720"/>
        </w:sectPr>
      </w:pPr>
      <w:r>
        <w:rPr>
          <w:rFonts w:ascii="Arial"/>
          <w:sz w:val="14"/>
        </w:rPr>
        <w:t xml:space="preserve">Email: </w:t>
      </w:r>
      <w:r w:rsidR="009326D7" w:rsidRPr="005142BB">
        <w:rPr>
          <w:rFonts w:ascii="Arial"/>
          <w:sz w:val="14"/>
        </w:rPr>
        <w:t>baykalhanife@gmail.co</w:t>
      </w:r>
      <w:r w:rsidR="00292ED9">
        <w:rPr>
          <w:noProof/>
          <w:lang w:val="en-IN" w:eastAsia="en-IN"/>
        </w:rPr>
        <mc:AlternateContent>
          <mc:Choice Requires="wps">
            <w:drawing>
              <wp:anchor distT="0" distB="0" distL="0" distR="0" simplePos="0" relativeHeight="251656704" behindDoc="0" locked="0" layoutInCell="1" allowOverlap="1" wp14:anchorId="0A68D38A" wp14:editId="7287F90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2086F"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5142BB">
        <w:rPr>
          <w:rFonts w:ascii="Arial"/>
          <w:sz w:val="14"/>
        </w:rPr>
        <w:t>m</w:t>
      </w:r>
    </w:p>
    <w:p w14:paraId="124132EB" w14:textId="77777777"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A9F99" w14:textId="77777777" w:rsidR="00BB3202" w:rsidRDefault="00BB3202">
      <w:r>
        <w:separator/>
      </w:r>
    </w:p>
  </w:endnote>
  <w:endnote w:type="continuationSeparator" w:id="0">
    <w:p w14:paraId="2028FA55" w14:textId="77777777" w:rsidR="00BB3202" w:rsidRDefault="00BB3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443A" w14:textId="77777777"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1101759" wp14:editId="215C99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28C0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63E04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0175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9228C0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63E04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878EFF4" wp14:editId="529A4F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9F4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4EDD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8EFF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C99F4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4EDD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4EA2A31" wp14:editId="266151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D1EE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765A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A2A3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25D1EE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765A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793AA" w14:textId="77777777" w:rsidR="00BB3202" w:rsidRDefault="00BB3202">
      <w:r>
        <w:separator/>
      </w:r>
    </w:p>
  </w:footnote>
  <w:footnote w:type="continuationSeparator" w:id="0">
    <w:p w14:paraId="32607FD0" w14:textId="77777777" w:rsidR="00BB3202" w:rsidRDefault="00BB3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AC9B3" w14:textId="77777777"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B1E5D67" wp14:editId="26F1E32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107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1E5D6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E7107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8A330FF" wp14:editId="179B6F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C3054"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46DE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330F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82C3054"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46DE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00C9"/>
    <w:rsid w:val="000E2911"/>
    <w:rsid w:val="001263DF"/>
    <w:rsid w:val="001E763C"/>
    <w:rsid w:val="00292ED9"/>
    <w:rsid w:val="00314AFB"/>
    <w:rsid w:val="003B76D9"/>
    <w:rsid w:val="003C52B6"/>
    <w:rsid w:val="00404E5B"/>
    <w:rsid w:val="00414F7B"/>
    <w:rsid w:val="004355DC"/>
    <w:rsid w:val="004749B4"/>
    <w:rsid w:val="00494130"/>
    <w:rsid w:val="004F3523"/>
    <w:rsid w:val="005142BB"/>
    <w:rsid w:val="005973B9"/>
    <w:rsid w:val="005B3A56"/>
    <w:rsid w:val="006060CE"/>
    <w:rsid w:val="0063497F"/>
    <w:rsid w:val="0065182B"/>
    <w:rsid w:val="0078738A"/>
    <w:rsid w:val="00841DEE"/>
    <w:rsid w:val="00873DF0"/>
    <w:rsid w:val="008756E6"/>
    <w:rsid w:val="009326D7"/>
    <w:rsid w:val="009B2D44"/>
    <w:rsid w:val="00A07E82"/>
    <w:rsid w:val="00A9710C"/>
    <w:rsid w:val="00AE3E37"/>
    <w:rsid w:val="00B21A57"/>
    <w:rsid w:val="00BB3202"/>
    <w:rsid w:val="00BE50DA"/>
    <w:rsid w:val="00C33602"/>
    <w:rsid w:val="00CB7910"/>
    <w:rsid w:val="00CD6F55"/>
    <w:rsid w:val="00D62425"/>
    <w:rsid w:val="00DE3104"/>
    <w:rsid w:val="00F520E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E316"/>
  <w15:docId w15:val="{8FA5D046-5055-4143-A4A7-FFDDEC91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Gl">
    <w:name w:val="Strong"/>
    <w:basedOn w:val="VarsaylanParagrafYazTipi"/>
    <w:uiPriority w:val="22"/>
    <w:qFormat/>
    <w:rsid w:val="009326D7"/>
    <w:rPr>
      <w:b/>
      <w:bCs/>
    </w:rPr>
  </w:style>
  <w:style w:type="character" w:styleId="zmlenmeyenBahsetme">
    <w:name w:val="Unresolved Mention"/>
    <w:basedOn w:val="VarsaylanParagrafYazTipi"/>
    <w:uiPriority w:val="99"/>
    <w:semiHidden/>
    <w:unhideWhenUsed/>
    <w:rsid w:val="009326D7"/>
    <w:rPr>
      <w:color w:val="605E5C"/>
      <w:shd w:val="clear" w:color="auto" w:fill="E1DFDD"/>
    </w:rPr>
  </w:style>
  <w:style w:type="paragraph" w:styleId="NormalWeb">
    <w:name w:val="Normal (Web)"/>
    <w:basedOn w:val="Normal"/>
    <w:uiPriority w:val="99"/>
    <w:semiHidden/>
    <w:unhideWhenUsed/>
    <w:rsid w:val="009326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5640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7951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2</Pages>
  <Words>573</Words>
  <Characters>3272</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W10</cp:lastModifiedBy>
  <cp:revision>8</cp:revision>
  <dcterms:created xsi:type="dcterms:W3CDTF">2016-08-31T13:10:00Z</dcterms:created>
  <dcterms:modified xsi:type="dcterms:W3CDTF">2026-01-23T12:17:00Z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