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DBE72" w14:textId="21E90932" w:rsidR="00A70DC4" w:rsidRDefault="003E343E" w:rsidP="003E343E">
      <w:pPr>
        <w:rPr>
          <w:b/>
          <w:bCs/>
        </w:rPr>
      </w:pPr>
      <w:r w:rsidRPr="006C3C67">
        <w:rPr>
          <w:b/>
          <w:bCs/>
        </w:rPr>
        <w:t>Open versus minimally invasive surgery (MIS) Transforaminal Lumbar Interbody Fusion (TLIF): A single-centre experience</w:t>
      </w:r>
      <w:r w:rsidRPr="003E343E">
        <w:rPr>
          <w:b/>
          <w:bCs/>
          <w:i/>
          <w:iCs/>
        </w:rPr>
        <w:br/>
      </w:r>
      <w:r w:rsidRPr="003E343E">
        <w:rPr>
          <w:b/>
          <w:bCs/>
        </w:rPr>
        <w:t>Mohammed Eldoadoa, Ameer Aldarragi, Prabhakar Rao, Parmjit Sian, Vikas Kapoor, Nektarios K Mazarakis</w:t>
      </w:r>
    </w:p>
    <w:p w14:paraId="041289E6" w14:textId="7CC7FD68" w:rsidR="003E343E" w:rsidRDefault="003E343E" w:rsidP="003E343E">
      <w:pPr>
        <w:rPr>
          <w:b/>
          <w:bCs/>
        </w:rPr>
      </w:pPr>
      <w:r w:rsidRPr="003E343E">
        <w:rPr>
          <w:b/>
          <w:bCs/>
        </w:rPr>
        <w:t>Department of Trauma and Orthopaedics, Stepping Hill Hospital, Stockport NHS Foundation Trust, Poplar Grove, Hazel Grove, Stockport SK2 7JE, United Kingdom </w:t>
      </w:r>
    </w:p>
    <w:p w14:paraId="1F5171CC" w14:textId="6855E1A9" w:rsidR="003E343E" w:rsidRDefault="003E343E" w:rsidP="003E343E">
      <w:pPr>
        <w:rPr>
          <w:b/>
          <w:bCs/>
        </w:rPr>
      </w:pPr>
      <w:r w:rsidRPr="003E343E">
        <w:rPr>
          <w:b/>
          <w:bCs/>
        </w:rPr>
        <w:t>Introduction</w:t>
      </w:r>
    </w:p>
    <w:p w14:paraId="45DCEFBF" w14:textId="5EC61EFA" w:rsidR="003E343E" w:rsidRDefault="003E343E" w:rsidP="003E343E">
      <w:r w:rsidRPr="003E343E">
        <w:t>Transforaminal Lumbar Interbody Fusion (TLIF) is a fusion technique used for the management of various pathologies such as degenerative disc disease, recurrent disc herniations and spondylolisthesis, to mention the most common indications. There is an ongoing debate regarding the use of open versus minimally invasive (MIS) techniques for TLIF. Each has its own advantages and disadvantages. In the present study, we aim to present our experience regarding the use of open vs MIS TLIF at Stepping Hill Hospital in Manchester.</w:t>
      </w:r>
    </w:p>
    <w:p w14:paraId="719F371B" w14:textId="1E537312" w:rsidR="003E343E" w:rsidRDefault="003E343E" w:rsidP="003E343E">
      <w:r w:rsidRPr="003E343E">
        <w:rPr>
          <w:b/>
          <w:bCs/>
        </w:rPr>
        <w:t>Method</w:t>
      </w:r>
    </w:p>
    <w:p w14:paraId="41EEB7E9" w14:textId="3237B7C5" w:rsidR="003E343E" w:rsidRDefault="003E343E" w:rsidP="003E343E">
      <w:r w:rsidRPr="003E343E">
        <w:t>A retrospective observational cohort study involving 62 patients was conducted at Stepping Hill Hospital in the UK. Patients who had TLIF fusion surgeries during 2019 and 2020 were included. Patients were consecutively allocated to either the open TLIF or the MIS TLIF group. Data were collected from hospital records including pre and post-operative follow up notes. We also assessed pain score using the visual analogue scale.</w:t>
      </w:r>
    </w:p>
    <w:p w14:paraId="1E91C8A6" w14:textId="44FBF1C0" w:rsidR="003E343E" w:rsidRDefault="003E343E" w:rsidP="003E343E">
      <w:r w:rsidRPr="003E343E">
        <w:rPr>
          <w:b/>
          <w:bCs/>
        </w:rPr>
        <w:t>Results</w:t>
      </w:r>
    </w:p>
    <w:p w14:paraId="13FD310A" w14:textId="3CB5CCF4" w:rsidR="003E343E" w:rsidRDefault="003E343E" w:rsidP="003E343E">
      <w:r w:rsidRPr="003E343E">
        <w:t>A total of 60 patients (26 MIS Vs 34 open) were included for final analysis. Most of the patients had a follow up for 12 months. The MIS group showed better outcomes compared to the open group in terms of post-operative complications, improvement of symptoms and average hospital stay: 7.6% vs 8.8%, 73.07% vs 58.8% and 1.85 vs 2.94 days, however the open group had a lower rate of metal work failure 8.8% vs 11.5% in the MIS.</w:t>
      </w:r>
    </w:p>
    <w:p w14:paraId="2584765F" w14:textId="1D77CC18" w:rsidR="003E343E" w:rsidRDefault="00710EED" w:rsidP="00710EED">
      <w:r w:rsidRPr="00710EED">
        <w:rPr>
          <w:b/>
          <w:bCs/>
        </w:rPr>
        <w:t>Conclusion</w:t>
      </w:r>
    </w:p>
    <w:p w14:paraId="41CD03F5" w14:textId="0B44EA78" w:rsidR="003E343E" w:rsidRDefault="003E343E" w:rsidP="003E343E">
      <w:r w:rsidRPr="003E343E">
        <w:t>Our results suggest:</w:t>
      </w:r>
      <w:r w:rsidRPr="003E343E">
        <w:br/>
        <w:t xml:space="preserve">1. No difference between the two groups in terms of patient satisfaction, post-operative complications and metalwork failure. Although there was a trend for more patient satisfaction and higher metal work failure in the MIS group those did not reach statistical significance (p&gt;0.05). </w:t>
      </w:r>
      <w:r w:rsidRPr="003E343E">
        <w:br/>
        <w:t>2. For the MIS group there was a statistically significant shorter stay in hospital post-operatively (p&lt;0.05).</w:t>
      </w:r>
    </w:p>
    <w:p w14:paraId="6DE3C29A" w14:textId="52D45C0A" w:rsidR="00710EED" w:rsidRDefault="00710EED" w:rsidP="00710EED">
      <w:pPr>
        <w:rPr>
          <w:b/>
          <w:bCs/>
        </w:rPr>
      </w:pPr>
      <w:r w:rsidRPr="00710EED">
        <w:rPr>
          <w:b/>
          <w:bCs/>
        </w:rPr>
        <w:t>Future</w:t>
      </w:r>
      <w:r>
        <w:rPr>
          <w:b/>
          <w:bCs/>
        </w:rPr>
        <w:t xml:space="preserve"> </w:t>
      </w:r>
      <w:r w:rsidRPr="00710EED">
        <w:rPr>
          <w:b/>
          <w:bCs/>
        </w:rPr>
        <w:t>directions</w:t>
      </w:r>
    </w:p>
    <w:p w14:paraId="0C12282E" w14:textId="3D678C5A" w:rsidR="00710EED" w:rsidRDefault="00710EED" w:rsidP="00710EED">
      <w:r w:rsidRPr="00710EED">
        <w:t>Confirm above results with a larger sample.</w:t>
      </w:r>
    </w:p>
    <w:p w14:paraId="48803562" w14:textId="798CBE86" w:rsidR="00710EED" w:rsidRDefault="00710EED" w:rsidP="00710EED"/>
    <w:p w14:paraId="2776174A" w14:textId="77777777" w:rsidR="00710EED" w:rsidRDefault="00710EED" w:rsidP="00710EED"/>
    <w:tbl>
      <w:tblPr>
        <w:tblpPr w:leftFromText="180" w:rightFromText="180" w:vertAnchor="page" w:horzAnchor="page" w:tblpX="916" w:tblpY="1126"/>
        <w:tblW w:w="6513" w:type="dxa"/>
        <w:tblCellMar>
          <w:left w:w="0" w:type="dxa"/>
          <w:right w:w="0" w:type="dxa"/>
        </w:tblCellMar>
        <w:tblLook w:val="0600" w:firstRow="0" w:lastRow="0" w:firstColumn="0" w:lastColumn="0" w:noHBand="1" w:noVBand="1"/>
      </w:tblPr>
      <w:tblGrid>
        <w:gridCol w:w="2119"/>
        <w:gridCol w:w="1559"/>
        <w:gridCol w:w="1701"/>
        <w:gridCol w:w="1134"/>
      </w:tblGrid>
      <w:tr w:rsidR="00710EED" w:rsidRPr="00710EED" w14:paraId="2D1368FC" w14:textId="77777777" w:rsidTr="00710EED">
        <w:trPr>
          <w:trHeight w:val="816"/>
        </w:trPr>
        <w:tc>
          <w:tcPr>
            <w:tcW w:w="2119" w:type="dxa"/>
            <w:tcBorders>
              <w:top w:val="single" w:sz="8" w:space="0" w:color="FFFFFF"/>
              <w:left w:val="single" w:sz="8" w:space="0" w:color="FFFFFF"/>
              <w:bottom w:val="single" w:sz="8" w:space="0" w:color="FFFFFF"/>
              <w:right w:val="single" w:sz="8" w:space="0" w:color="FFFFFF"/>
            </w:tcBorders>
            <w:shd w:val="clear" w:color="auto" w:fill="F3F9FA"/>
            <w:tcMar>
              <w:top w:w="15" w:type="dxa"/>
              <w:left w:w="15" w:type="dxa"/>
              <w:bottom w:w="0" w:type="dxa"/>
              <w:right w:w="15" w:type="dxa"/>
            </w:tcMar>
            <w:vAlign w:val="bottom"/>
            <w:hideMark/>
          </w:tcPr>
          <w:p w14:paraId="61711E3B" w14:textId="77777777" w:rsidR="00710EED" w:rsidRPr="00710EED" w:rsidRDefault="00710EED" w:rsidP="00710EED">
            <w:r>
              <w:lastRenderedPageBreak/>
              <w:softHyphen/>
            </w:r>
          </w:p>
        </w:tc>
        <w:tc>
          <w:tcPr>
            <w:tcW w:w="1559" w:type="dxa"/>
            <w:tcBorders>
              <w:top w:val="single" w:sz="8" w:space="0" w:color="FFFFFF"/>
              <w:left w:val="single" w:sz="8" w:space="0" w:color="FFFFFF"/>
              <w:bottom w:val="single" w:sz="8" w:space="0" w:color="FFFFFF"/>
              <w:right w:val="single" w:sz="8" w:space="0" w:color="FFFFFF"/>
            </w:tcBorders>
            <w:shd w:val="clear" w:color="auto" w:fill="F3F9FA"/>
            <w:tcMar>
              <w:top w:w="15" w:type="dxa"/>
              <w:left w:w="15" w:type="dxa"/>
              <w:bottom w:w="0" w:type="dxa"/>
              <w:right w:w="15" w:type="dxa"/>
            </w:tcMar>
            <w:vAlign w:val="center"/>
            <w:hideMark/>
          </w:tcPr>
          <w:p w14:paraId="4BA1B82A" w14:textId="77777777" w:rsidR="00710EED" w:rsidRPr="00710EED" w:rsidRDefault="00710EED" w:rsidP="00710EED">
            <w:r w:rsidRPr="00710EED">
              <w:t>MIS= 26</w:t>
            </w:r>
          </w:p>
        </w:tc>
        <w:tc>
          <w:tcPr>
            <w:tcW w:w="1701" w:type="dxa"/>
            <w:tcBorders>
              <w:top w:val="single" w:sz="8" w:space="0" w:color="FFFFFF"/>
              <w:left w:val="single" w:sz="8" w:space="0" w:color="FFFFFF"/>
              <w:bottom w:val="single" w:sz="8" w:space="0" w:color="FFFFFF"/>
              <w:right w:val="single" w:sz="8" w:space="0" w:color="FFFFFF"/>
            </w:tcBorders>
            <w:shd w:val="clear" w:color="auto" w:fill="F3F9FA"/>
            <w:tcMar>
              <w:top w:w="15" w:type="dxa"/>
              <w:left w:w="15" w:type="dxa"/>
              <w:bottom w:w="0" w:type="dxa"/>
              <w:right w:w="15" w:type="dxa"/>
            </w:tcMar>
            <w:vAlign w:val="center"/>
            <w:hideMark/>
          </w:tcPr>
          <w:p w14:paraId="16231155" w14:textId="77777777" w:rsidR="00710EED" w:rsidRPr="00710EED" w:rsidRDefault="00710EED" w:rsidP="00710EED">
            <w:r w:rsidRPr="00710EED">
              <w:t>Open= 34</w:t>
            </w:r>
          </w:p>
        </w:tc>
        <w:tc>
          <w:tcPr>
            <w:tcW w:w="1134" w:type="dxa"/>
            <w:tcBorders>
              <w:top w:val="single" w:sz="8" w:space="0" w:color="FFFFFF"/>
              <w:left w:val="single" w:sz="8" w:space="0" w:color="FFFFFF"/>
              <w:bottom w:val="single" w:sz="8" w:space="0" w:color="FFFFFF"/>
              <w:right w:val="single" w:sz="8" w:space="0" w:color="FFFFFF"/>
            </w:tcBorders>
            <w:shd w:val="clear" w:color="auto" w:fill="F3F9FA"/>
            <w:tcMar>
              <w:top w:w="15" w:type="dxa"/>
              <w:left w:w="15" w:type="dxa"/>
              <w:bottom w:w="0" w:type="dxa"/>
              <w:right w:w="15" w:type="dxa"/>
            </w:tcMar>
            <w:vAlign w:val="bottom"/>
            <w:hideMark/>
          </w:tcPr>
          <w:p w14:paraId="5A5C96D6" w14:textId="77777777" w:rsidR="00710EED" w:rsidRPr="00710EED" w:rsidRDefault="00710EED" w:rsidP="00710EED">
            <w:r w:rsidRPr="00710EED">
              <w:t>chi square test</w:t>
            </w:r>
          </w:p>
        </w:tc>
      </w:tr>
      <w:tr w:rsidR="00710EED" w:rsidRPr="00710EED" w14:paraId="2EF208B2" w14:textId="77777777" w:rsidTr="00710EED">
        <w:trPr>
          <w:trHeight w:val="532"/>
        </w:trPr>
        <w:tc>
          <w:tcPr>
            <w:tcW w:w="2119" w:type="dxa"/>
            <w:tcBorders>
              <w:top w:val="single" w:sz="8" w:space="0" w:color="FFFFFF"/>
              <w:left w:val="single" w:sz="8" w:space="0" w:color="FFFFFF"/>
              <w:bottom w:val="single" w:sz="8" w:space="0" w:color="FFFFFF"/>
              <w:right w:val="single" w:sz="8" w:space="0" w:color="FFFFFF"/>
            </w:tcBorders>
            <w:shd w:val="clear" w:color="auto" w:fill="F3F9FA"/>
            <w:tcMar>
              <w:top w:w="15" w:type="dxa"/>
              <w:left w:w="15" w:type="dxa"/>
              <w:bottom w:w="0" w:type="dxa"/>
              <w:right w:w="15" w:type="dxa"/>
            </w:tcMar>
            <w:vAlign w:val="center"/>
            <w:hideMark/>
          </w:tcPr>
          <w:p w14:paraId="5CAF4BD5" w14:textId="77777777" w:rsidR="00710EED" w:rsidRPr="00710EED" w:rsidRDefault="00710EED" w:rsidP="00710EED">
            <w:r w:rsidRPr="00710EED">
              <w:t>Symptoms alleviation</w:t>
            </w:r>
          </w:p>
        </w:tc>
        <w:tc>
          <w:tcPr>
            <w:tcW w:w="1559" w:type="dxa"/>
            <w:tcBorders>
              <w:top w:val="single" w:sz="8" w:space="0" w:color="FFFFFF"/>
              <w:left w:val="single" w:sz="8" w:space="0" w:color="FFFFFF"/>
              <w:bottom w:val="single" w:sz="8" w:space="0" w:color="FFFFFF"/>
              <w:right w:val="single" w:sz="8" w:space="0" w:color="FFFFFF"/>
            </w:tcBorders>
            <w:shd w:val="clear" w:color="auto" w:fill="F3F9FA"/>
            <w:tcMar>
              <w:top w:w="15" w:type="dxa"/>
              <w:left w:w="15" w:type="dxa"/>
              <w:bottom w:w="0" w:type="dxa"/>
              <w:right w:w="15" w:type="dxa"/>
            </w:tcMar>
            <w:vAlign w:val="center"/>
            <w:hideMark/>
          </w:tcPr>
          <w:p w14:paraId="4BFD24BD" w14:textId="77777777" w:rsidR="00710EED" w:rsidRPr="00710EED" w:rsidRDefault="00710EED" w:rsidP="00710EED">
            <w:r w:rsidRPr="00710EED">
              <w:t>19  (73.07%)</w:t>
            </w:r>
          </w:p>
        </w:tc>
        <w:tc>
          <w:tcPr>
            <w:tcW w:w="1701" w:type="dxa"/>
            <w:tcBorders>
              <w:top w:val="single" w:sz="8" w:space="0" w:color="FFFFFF"/>
              <w:left w:val="single" w:sz="8" w:space="0" w:color="FFFFFF"/>
              <w:bottom w:val="single" w:sz="8" w:space="0" w:color="FFFFFF"/>
              <w:right w:val="single" w:sz="8" w:space="0" w:color="FFFFFF"/>
            </w:tcBorders>
            <w:shd w:val="clear" w:color="auto" w:fill="F3F9FA"/>
            <w:tcMar>
              <w:top w:w="15" w:type="dxa"/>
              <w:left w:w="15" w:type="dxa"/>
              <w:bottom w:w="0" w:type="dxa"/>
              <w:right w:w="15" w:type="dxa"/>
            </w:tcMar>
            <w:vAlign w:val="center"/>
            <w:hideMark/>
          </w:tcPr>
          <w:p w14:paraId="497731E3" w14:textId="77777777" w:rsidR="00710EED" w:rsidRPr="00710EED" w:rsidRDefault="00710EED" w:rsidP="00710EED">
            <w:r w:rsidRPr="00710EED">
              <w:t>20 (58.8%)</w:t>
            </w:r>
          </w:p>
        </w:tc>
        <w:tc>
          <w:tcPr>
            <w:tcW w:w="1134" w:type="dxa"/>
            <w:tcBorders>
              <w:top w:val="single" w:sz="8" w:space="0" w:color="FFFFFF"/>
              <w:left w:val="single" w:sz="8" w:space="0" w:color="FFFFFF"/>
              <w:bottom w:val="single" w:sz="8" w:space="0" w:color="FFFFFF"/>
              <w:right w:val="single" w:sz="8" w:space="0" w:color="FFFFFF"/>
            </w:tcBorders>
            <w:shd w:val="clear" w:color="auto" w:fill="F3F9FA"/>
            <w:tcMar>
              <w:top w:w="15" w:type="dxa"/>
              <w:left w:w="15" w:type="dxa"/>
              <w:bottom w:w="0" w:type="dxa"/>
              <w:right w:w="15" w:type="dxa"/>
            </w:tcMar>
            <w:vAlign w:val="bottom"/>
            <w:hideMark/>
          </w:tcPr>
          <w:p w14:paraId="7CC1B963" w14:textId="77777777" w:rsidR="00710EED" w:rsidRPr="00710EED" w:rsidRDefault="00710EED" w:rsidP="00710EED">
            <w:r w:rsidRPr="00710EED">
              <w:t>p&gt;0.05</w:t>
            </w:r>
          </w:p>
        </w:tc>
      </w:tr>
      <w:tr w:rsidR="00710EED" w:rsidRPr="00710EED" w14:paraId="4DF0EEA4" w14:textId="77777777" w:rsidTr="00710EED">
        <w:trPr>
          <w:trHeight w:val="668"/>
        </w:trPr>
        <w:tc>
          <w:tcPr>
            <w:tcW w:w="2119" w:type="dxa"/>
            <w:tcBorders>
              <w:top w:val="single" w:sz="8" w:space="0" w:color="FFFFFF"/>
              <w:left w:val="single" w:sz="8" w:space="0" w:color="FFFFFF"/>
              <w:bottom w:val="single" w:sz="8" w:space="0" w:color="FFFFFF"/>
              <w:right w:val="single" w:sz="8" w:space="0" w:color="FFFFFF"/>
            </w:tcBorders>
            <w:shd w:val="clear" w:color="auto" w:fill="F3F9FA"/>
            <w:tcMar>
              <w:top w:w="15" w:type="dxa"/>
              <w:left w:w="15" w:type="dxa"/>
              <w:bottom w:w="0" w:type="dxa"/>
              <w:right w:w="15" w:type="dxa"/>
            </w:tcMar>
            <w:vAlign w:val="bottom"/>
            <w:hideMark/>
          </w:tcPr>
          <w:p w14:paraId="164466B7" w14:textId="77777777" w:rsidR="00710EED" w:rsidRPr="00710EED" w:rsidRDefault="00710EED" w:rsidP="00710EED">
            <w:r w:rsidRPr="00710EED">
              <w:t xml:space="preserve"> Post-operative complications</w:t>
            </w:r>
          </w:p>
        </w:tc>
        <w:tc>
          <w:tcPr>
            <w:tcW w:w="1559" w:type="dxa"/>
            <w:tcBorders>
              <w:top w:val="single" w:sz="8" w:space="0" w:color="FFFFFF"/>
              <w:left w:val="single" w:sz="8" w:space="0" w:color="FFFFFF"/>
              <w:bottom w:val="single" w:sz="8" w:space="0" w:color="FFFFFF"/>
              <w:right w:val="single" w:sz="8" w:space="0" w:color="FFFFFF"/>
            </w:tcBorders>
            <w:shd w:val="clear" w:color="auto" w:fill="F3F9FA"/>
            <w:tcMar>
              <w:top w:w="15" w:type="dxa"/>
              <w:left w:w="15" w:type="dxa"/>
              <w:bottom w:w="0" w:type="dxa"/>
              <w:right w:w="15" w:type="dxa"/>
            </w:tcMar>
            <w:vAlign w:val="center"/>
            <w:hideMark/>
          </w:tcPr>
          <w:p w14:paraId="592529FC" w14:textId="77777777" w:rsidR="00710EED" w:rsidRPr="00710EED" w:rsidRDefault="00710EED" w:rsidP="00710EED">
            <w:r w:rsidRPr="00710EED">
              <w:t>2 (7.6%)</w:t>
            </w:r>
          </w:p>
        </w:tc>
        <w:tc>
          <w:tcPr>
            <w:tcW w:w="1701" w:type="dxa"/>
            <w:tcBorders>
              <w:top w:val="single" w:sz="8" w:space="0" w:color="FFFFFF"/>
              <w:left w:val="single" w:sz="8" w:space="0" w:color="FFFFFF"/>
              <w:bottom w:val="single" w:sz="8" w:space="0" w:color="FFFFFF"/>
              <w:right w:val="single" w:sz="8" w:space="0" w:color="FFFFFF"/>
            </w:tcBorders>
            <w:shd w:val="clear" w:color="auto" w:fill="F3F9FA"/>
            <w:tcMar>
              <w:top w:w="15" w:type="dxa"/>
              <w:left w:w="15" w:type="dxa"/>
              <w:bottom w:w="0" w:type="dxa"/>
              <w:right w:w="15" w:type="dxa"/>
            </w:tcMar>
            <w:vAlign w:val="center"/>
            <w:hideMark/>
          </w:tcPr>
          <w:p w14:paraId="01C88889" w14:textId="77777777" w:rsidR="00710EED" w:rsidRPr="00710EED" w:rsidRDefault="00710EED" w:rsidP="00710EED">
            <w:r w:rsidRPr="00710EED">
              <w:t>3 (8.8%)</w:t>
            </w:r>
          </w:p>
        </w:tc>
        <w:tc>
          <w:tcPr>
            <w:tcW w:w="1134" w:type="dxa"/>
            <w:tcBorders>
              <w:top w:val="single" w:sz="8" w:space="0" w:color="FFFFFF"/>
              <w:left w:val="single" w:sz="8" w:space="0" w:color="FFFFFF"/>
              <w:bottom w:val="single" w:sz="8" w:space="0" w:color="FFFFFF"/>
              <w:right w:val="single" w:sz="8" w:space="0" w:color="FFFFFF"/>
            </w:tcBorders>
            <w:shd w:val="clear" w:color="auto" w:fill="F3F9FA"/>
            <w:tcMar>
              <w:top w:w="15" w:type="dxa"/>
              <w:left w:w="15" w:type="dxa"/>
              <w:bottom w:w="0" w:type="dxa"/>
              <w:right w:w="15" w:type="dxa"/>
            </w:tcMar>
            <w:vAlign w:val="bottom"/>
            <w:hideMark/>
          </w:tcPr>
          <w:p w14:paraId="052A9709" w14:textId="77777777" w:rsidR="00710EED" w:rsidRPr="00710EED" w:rsidRDefault="00710EED" w:rsidP="00710EED">
            <w:r w:rsidRPr="00710EED">
              <w:t>p&gt;0.05</w:t>
            </w:r>
          </w:p>
        </w:tc>
      </w:tr>
      <w:tr w:rsidR="00710EED" w:rsidRPr="00710EED" w14:paraId="17F65D82" w14:textId="77777777" w:rsidTr="00710EED">
        <w:trPr>
          <w:trHeight w:val="438"/>
        </w:trPr>
        <w:tc>
          <w:tcPr>
            <w:tcW w:w="2119" w:type="dxa"/>
            <w:tcBorders>
              <w:top w:val="single" w:sz="8" w:space="0" w:color="FFFFFF"/>
              <w:left w:val="single" w:sz="8" w:space="0" w:color="FFFFFF"/>
              <w:bottom w:val="single" w:sz="8" w:space="0" w:color="FFFFFF"/>
              <w:right w:val="single" w:sz="8" w:space="0" w:color="FFFFFF"/>
            </w:tcBorders>
            <w:shd w:val="clear" w:color="auto" w:fill="F3F9FA"/>
            <w:tcMar>
              <w:top w:w="15" w:type="dxa"/>
              <w:left w:w="15" w:type="dxa"/>
              <w:bottom w:w="0" w:type="dxa"/>
              <w:right w:w="15" w:type="dxa"/>
            </w:tcMar>
            <w:vAlign w:val="center"/>
            <w:hideMark/>
          </w:tcPr>
          <w:p w14:paraId="2EFFE728" w14:textId="77777777" w:rsidR="00710EED" w:rsidRPr="00710EED" w:rsidRDefault="00710EED" w:rsidP="00710EED">
            <w:r w:rsidRPr="00710EED">
              <w:t>Metal work failure</w:t>
            </w:r>
          </w:p>
        </w:tc>
        <w:tc>
          <w:tcPr>
            <w:tcW w:w="1559" w:type="dxa"/>
            <w:tcBorders>
              <w:top w:val="single" w:sz="8" w:space="0" w:color="FFFFFF"/>
              <w:left w:val="single" w:sz="8" w:space="0" w:color="FFFFFF"/>
              <w:bottom w:val="single" w:sz="8" w:space="0" w:color="FFFFFF"/>
              <w:right w:val="single" w:sz="8" w:space="0" w:color="FFFFFF"/>
            </w:tcBorders>
            <w:shd w:val="clear" w:color="auto" w:fill="F3F9FA"/>
            <w:tcMar>
              <w:top w:w="15" w:type="dxa"/>
              <w:left w:w="15" w:type="dxa"/>
              <w:bottom w:w="0" w:type="dxa"/>
              <w:right w:w="15" w:type="dxa"/>
            </w:tcMar>
            <w:vAlign w:val="center"/>
            <w:hideMark/>
          </w:tcPr>
          <w:p w14:paraId="2A53AF11" w14:textId="77777777" w:rsidR="00710EED" w:rsidRPr="00710EED" w:rsidRDefault="00710EED" w:rsidP="00710EED">
            <w:r w:rsidRPr="00710EED">
              <w:t>3 (11.5%)</w:t>
            </w:r>
          </w:p>
        </w:tc>
        <w:tc>
          <w:tcPr>
            <w:tcW w:w="1701" w:type="dxa"/>
            <w:tcBorders>
              <w:top w:val="single" w:sz="8" w:space="0" w:color="FFFFFF"/>
              <w:left w:val="single" w:sz="8" w:space="0" w:color="FFFFFF"/>
              <w:bottom w:val="single" w:sz="8" w:space="0" w:color="FFFFFF"/>
              <w:right w:val="single" w:sz="8" w:space="0" w:color="FFFFFF"/>
            </w:tcBorders>
            <w:shd w:val="clear" w:color="auto" w:fill="F3F9FA"/>
            <w:tcMar>
              <w:top w:w="15" w:type="dxa"/>
              <w:left w:w="15" w:type="dxa"/>
              <w:bottom w:w="0" w:type="dxa"/>
              <w:right w:w="15" w:type="dxa"/>
            </w:tcMar>
            <w:vAlign w:val="center"/>
            <w:hideMark/>
          </w:tcPr>
          <w:p w14:paraId="676FE83B" w14:textId="77777777" w:rsidR="00710EED" w:rsidRPr="00710EED" w:rsidRDefault="00710EED" w:rsidP="00710EED">
            <w:r w:rsidRPr="00710EED">
              <w:t>3 (8.8%)</w:t>
            </w:r>
          </w:p>
        </w:tc>
        <w:tc>
          <w:tcPr>
            <w:tcW w:w="1134" w:type="dxa"/>
            <w:tcBorders>
              <w:top w:val="single" w:sz="8" w:space="0" w:color="FFFFFF"/>
              <w:left w:val="single" w:sz="8" w:space="0" w:color="FFFFFF"/>
              <w:bottom w:val="single" w:sz="8" w:space="0" w:color="FFFFFF"/>
              <w:right w:val="single" w:sz="8" w:space="0" w:color="FFFFFF"/>
            </w:tcBorders>
            <w:shd w:val="clear" w:color="auto" w:fill="F3F9FA"/>
            <w:tcMar>
              <w:top w:w="15" w:type="dxa"/>
              <w:left w:w="15" w:type="dxa"/>
              <w:bottom w:w="0" w:type="dxa"/>
              <w:right w:w="15" w:type="dxa"/>
            </w:tcMar>
            <w:vAlign w:val="bottom"/>
            <w:hideMark/>
          </w:tcPr>
          <w:p w14:paraId="4B2CFD18" w14:textId="77777777" w:rsidR="00710EED" w:rsidRPr="00710EED" w:rsidRDefault="00710EED" w:rsidP="00710EED">
            <w:r w:rsidRPr="00710EED">
              <w:t>p&gt;0.05</w:t>
            </w:r>
          </w:p>
        </w:tc>
      </w:tr>
    </w:tbl>
    <w:p w14:paraId="52E353FE" w14:textId="77777777" w:rsidR="00710EED" w:rsidRPr="00710EED" w:rsidRDefault="00710EED" w:rsidP="00710EED"/>
    <w:p w14:paraId="37DBDF3F" w14:textId="77777777" w:rsidR="00710EED" w:rsidRPr="003E343E" w:rsidRDefault="00710EED" w:rsidP="00710EED"/>
    <w:p w14:paraId="68FFC871" w14:textId="77777777" w:rsidR="003E343E" w:rsidRPr="003E343E" w:rsidRDefault="003E343E" w:rsidP="003E343E"/>
    <w:p w14:paraId="712F5FD8" w14:textId="616E0B42" w:rsidR="003E343E" w:rsidRDefault="003E343E" w:rsidP="003E343E"/>
    <w:p w14:paraId="55B2C44F" w14:textId="4621E2AA" w:rsidR="00710EED" w:rsidRDefault="00710EED" w:rsidP="003E343E"/>
    <w:p w14:paraId="1D01770A" w14:textId="5C4087F5" w:rsidR="00710EED" w:rsidRDefault="00710EED" w:rsidP="003E343E"/>
    <w:p w14:paraId="32ACAD3A" w14:textId="66273D71" w:rsidR="00710EED" w:rsidRDefault="0019555F" w:rsidP="004E4B9F">
      <w:r w:rsidRPr="0019555F">
        <w:rPr>
          <w:b/>
          <w:bCs/>
        </w:rPr>
        <w:t xml:space="preserve">Table 1: </w:t>
      </w:r>
      <w:r>
        <w:rPr>
          <w:b/>
          <w:bCs/>
        </w:rPr>
        <w:t xml:space="preserve"> </w:t>
      </w:r>
      <w:r w:rsidR="004E4B9F">
        <w:rPr>
          <w:b/>
          <w:bCs/>
        </w:rPr>
        <w:t>Comparing r</w:t>
      </w:r>
      <w:r>
        <w:rPr>
          <w:b/>
          <w:bCs/>
        </w:rPr>
        <w:t xml:space="preserve">esults </w:t>
      </w:r>
      <w:r w:rsidR="004E4B9F">
        <w:rPr>
          <w:b/>
          <w:bCs/>
        </w:rPr>
        <w:t>between the two groups</w:t>
      </w:r>
    </w:p>
    <w:p w14:paraId="6913A2FA" w14:textId="3160336D" w:rsidR="0019555F" w:rsidRDefault="0019555F" w:rsidP="003E343E"/>
    <w:p w14:paraId="52A1B7EF" w14:textId="11AEBF4A" w:rsidR="0019555F" w:rsidRDefault="0019555F" w:rsidP="0019555F">
      <w:r w:rsidRPr="0019555F">
        <w:drawing>
          <wp:inline distT="0" distB="0" distL="0" distR="0" wp14:anchorId="5894BAB2" wp14:editId="5CCB32CD">
            <wp:extent cx="5451280" cy="3033139"/>
            <wp:effectExtent l="0" t="0" r="16510" b="15240"/>
            <wp:docPr id="1" name="Chart 1">
              <a:extLst xmlns:a="http://schemas.openxmlformats.org/drawingml/2006/main">
                <a:ext uri="{FF2B5EF4-FFF2-40B4-BE49-F238E27FC236}">
                  <a16:creationId xmlns:a16="http://schemas.microsoft.com/office/drawing/2014/main" id="{7E8D9ED4-BA4B-3C47-B248-464F0DF15D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77ED4781" w14:textId="79038EB4" w:rsidR="0019555F" w:rsidRDefault="0019555F" w:rsidP="0019555F">
      <w:pPr>
        <w:rPr>
          <w:b/>
          <w:bCs/>
          <w:lang w:val="en-US"/>
        </w:rPr>
      </w:pPr>
      <w:r w:rsidRPr="0019555F">
        <w:rPr>
          <w:b/>
          <w:bCs/>
          <w:lang w:val="en-US"/>
        </w:rPr>
        <w:t xml:space="preserve">Figure </w:t>
      </w:r>
      <w:r>
        <w:rPr>
          <w:b/>
          <w:bCs/>
          <w:lang w:val="en-US"/>
        </w:rPr>
        <w:t>1</w:t>
      </w:r>
      <w:r w:rsidRPr="0019555F">
        <w:rPr>
          <w:b/>
          <w:bCs/>
          <w:lang w:val="en-US"/>
        </w:rPr>
        <w:t xml:space="preserve">: On average the MIS group had a shorter stay in hospital post-operatively compared to the Open group (t-test, P&lt;0.05)  </w:t>
      </w:r>
    </w:p>
    <w:p w14:paraId="18867AD7" w14:textId="77777777" w:rsidR="0019555F" w:rsidRDefault="0019555F" w:rsidP="0019555F">
      <w:pPr>
        <w:rPr>
          <w:b/>
          <w:bCs/>
          <w:lang w:val="en-US"/>
        </w:rPr>
      </w:pPr>
    </w:p>
    <w:p w14:paraId="27A10D2B" w14:textId="23A82A3D" w:rsidR="0019555F" w:rsidRDefault="0019555F" w:rsidP="0019555F">
      <w:pPr>
        <w:rPr>
          <w:b/>
          <w:bCs/>
          <w:lang w:val="en-US"/>
        </w:rPr>
      </w:pPr>
      <w:r w:rsidRPr="0019555F">
        <w:rPr>
          <w:b/>
          <w:bCs/>
        </w:rPr>
        <w:t>References</w:t>
      </w:r>
    </w:p>
    <w:p w14:paraId="098BC987" w14:textId="2E58BDC2" w:rsidR="0019555F" w:rsidRDefault="0019555F" w:rsidP="00623BDC">
      <w:r w:rsidRPr="0019555F">
        <w:t xml:space="preserve">1.Nickalus R Khan, Aaron J Clark, Siang Liao Lee, Garrett T Venable, Nicholas B </w:t>
      </w:r>
      <w:r w:rsidRPr="0019555F">
        <w:br/>
        <w:t>Rossi, Kevin T Foley. Neurosurgery . 2015 Dec;77(6):847-74; discussion 874.</w:t>
      </w:r>
      <w:r w:rsidRPr="0019555F">
        <w:br/>
        <w:t xml:space="preserve">2. Samuel W Terman, Timothy J Yee, Darryl Lau, Adam A Khan, Frank La Marca, </w:t>
      </w:r>
      <w:r w:rsidRPr="0019555F">
        <w:br/>
        <w:t>Paul Park. J Neurosurg Spine . 2014 Jun;20(6):644-52. doi: 10.3171/2014.2.</w:t>
      </w:r>
      <w:r w:rsidRPr="0019555F">
        <w:br/>
        <w:t>SPINE13794. Epub 2014 Apr 18.</w:t>
      </w:r>
      <w:r w:rsidR="00623BDC">
        <w:br/>
      </w:r>
      <w:r>
        <w:t>3.</w:t>
      </w:r>
      <w:r w:rsidR="00623BDC" w:rsidRPr="00623BDC">
        <w:t xml:space="preserve"> </w:t>
      </w:r>
      <w:r w:rsidR="00623BDC" w:rsidRPr="00623BDC">
        <w:t xml:space="preserve">Aimin Li, Xiang Li, Yang Zhong </w:t>
      </w:r>
      <w:r w:rsidR="00623BDC">
        <w:t>.</w:t>
      </w:r>
      <w:r w:rsidR="00623BDC" w:rsidRPr="00623BDC">
        <w:t xml:space="preserve"> J Orthop Surg Res . 2018 Sep 20;13(1):241. doi: 10.1186/s13018-018-0941-8.</w:t>
      </w:r>
      <w:r w:rsidR="00623BDC">
        <w:br/>
      </w:r>
      <w:r>
        <w:t>4.</w:t>
      </w:r>
      <w:r w:rsidR="00623BDC">
        <w:t xml:space="preserve"> </w:t>
      </w:r>
      <w:r w:rsidR="00623BDC" w:rsidRPr="00623BDC">
        <w:t>Ahmed Hammad, André Wirries, J Orthop Surg Res. 2019; 14: 229. doi: 10.1186/s13018-019-1266-y</w:t>
      </w:r>
    </w:p>
    <w:p w14:paraId="03A91C48" w14:textId="476F975C" w:rsidR="0019555F" w:rsidRPr="0019555F" w:rsidRDefault="0019555F" w:rsidP="0019555F">
      <w:r>
        <w:t>5.</w:t>
      </w:r>
      <w:r w:rsidR="004E4B9F" w:rsidRPr="004E4B9F">
        <w:t xml:space="preserve"> </w:t>
      </w:r>
      <w:r w:rsidR="004E4B9F" w:rsidRPr="004E4B9F">
        <w:t>Johan L Heemskerk 1, Oluwaseun Oluwadara Akinduro.Spine J . 2021 Dec;21(12):2049-2065. doi: 10.1016/j.spinee.2021.07.006. Epub 2021 Jul 14.</w:t>
      </w:r>
    </w:p>
    <w:p w14:paraId="00BFE90D" w14:textId="229D7A6B" w:rsidR="0019555F" w:rsidRDefault="004E4B9F" w:rsidP="0019555F">
      <w:pPr>
        <w:rPr>
          <w:rFonts w:ascii="Arial"/>
        </w:rPr>
      </w:pPr>
      <w:r w:rsidRPr="004E4B9F">
        <w:rPr>
          <w:rFonts w:ascii="Arial"/>
        </w:rPr>
        <w:lastRenderedPageBreak/>
        <w:t>Biography</w:t>
      </w:r>
    </w:p>
    <w:p w14:paraId="0E6E3071" w14:textId="04AF86EE" w:rsidR="004E4B9F" w:rsidRDefault="004E4B9F" w:rsidP="0019555F">
      <w:pPr>
        <w:rPr>
          <w:rFonts w:ascii="Arial"/>
        </w:rPr>
      </w:pPr>
      <w:r>
        <w:rPr>
          <w:rFonts w:ascii="Arial"/>
        </w:rPr>
        <w:t>Dr Mohammed Eldoadoa is a junior doctor in NHS</w:t>
      </w:r>
      <w:r w:rsidR="00775224">
        <w:rPr>
          <w:rFonts w:ascii="Arial"/>
        </w:rPr>
        <w:t xml:space="preserve"> </w:t>
      </w:r>
      <w:r w:rsidR="009A7C23">
        <w:rPr>
          <w:rFonts w:ascii="Arial"/>
        </w:rPr>
        <w:t xml:space="preserve">who has an </w:t>
      </w:r>
      <w:r w:rsidR="00775224">
        <w:rPr>
          <w:rFonts w:ascii="Arial"/>
        </w:rPr>
        <w:t xml:space="preserve">interest in trauma </w:t>
      </w:r>
      <w:r w:rsidR="009A7C23">
        <w:rPr>
          <w:rFonts w:ascii="Arial"/>
        </w:rPr>
        <w:t xml:space="preserve">&amp; </w:t>
      </w:r>
      <w:r w:rsidR="00775224">
        <w:rPr>
          <w:rFonts w:ascii="Arial"/>
        </w:rPr>
        <w:t>spin</w:t>
      </w:r>
      <w:r w:rsidR="009A7C23">
        <w:rPr>
          <w:rFonts w:ascii="Arial"/>
        </w:rPr>
        <w:t>e</w:t>
      </w:r>
      <w:r>
        <w:rPr>
          <w:rFonts w:ascii="Arial"/>
        </w:rPr>
        <w:t xml:space="preserve">. This study was performed while working as a junior clinical </w:t>
      </w:r>
      <w:r w:rsidR="009A7C23">
        <w:rPr>
          <w:rFonts w:ascii="Arial"/>
        </w:rPr>
        <w:t xml:space="preserve">spinal </w:t>
      </w:r>
      <w:r>
        <w:rPr>
          <w:rFonts w:ascii="Arial"/>
        </w:rPr>
        <w:t>fellow in the department of Trauma and Orthopaedics</w:t>
      </w:r>
      <w:r w:rsidR="009A7C23">
        <w:rPr>
          <w:rFonts w:ascii="Arial"/>
        </w:rPr>
        <w:t xml:space="preserve"> department, </w:t>
      </w:r>
      <w:r>
        <w:rPr>
          <w:rFonts w:ascii="Arial"/>
        </w:rPr>
        <w:t>Stockport NHS Foundation Trust, Manchester, UK.</w:t>
      </w:r>
    </w:p>
    <w:p w14:paraId="1FDF5D20" w14:textId="1A6744C3" w:rsidR="00775224" w:rsidRDefault="00775224" w:rsidP="0019555F">
      <w:pPr>
        <w:rPr>
          <w:rFonts w:ascii="Arial"/>
        </w:rPr>
      </w:pPr>
    </w:p>
    <w:p w14:paraId="06C5AD2B" w14:textId="666E634C" w:rsidR="00775224" w:rsidRDefault="00775224" w:rsidP="0019555F">
      <w:pPr>
        <w:rPr>
          <w:rFonts w:ascii="Arial"/>
        </w:rPr>
      </w:pPr>
      <w:r>
        <w:rPr>
          <w:rFonts w:ascii="Arial"/>
        </w:rPr>
        <w:t xml:space="preserve">Email: </w:t>
      </w:r>
    </w:p>
    <w:p w14:paraId="33E4435C" w14:textId="0862726D" w:rsidR="00775224" w:rsidRDefault="00775224" w:rsidP="0019555F">
      <w:pPr>
        <w:rPr>
          <w:rFonts w:ascii="Arial"/>
        </w:rPr>
      </w:pPr>
      <w:hyperlink r:id="rId6" w:history="1">
        <w:r w:rsidRPr="00C81F7B">
          <w:rPr>
            <w:rStyle w:val="Hyperlink"/>
            <w:rFonts w:ascii="Arial"/>
          </w:rPr>
          <w:t>mohammedfathieldoadoa@gmail.com</w:t>
        </w:r>
      </w:hyperlink>
    </w:p>
    <w:p w14:paraId="0A8864B9" w14:textId="05D342CB" w:rsidR="00775224" w:rsidRDefault="00775224" w:rsidP="0019555F">
      <w:pPr>
        <w:rPr>
          <w:rFonts w:ascii="Arial"/>
        </w:rPr>
      </w:pPr>
      <w:hyperlink r:id="rId7" w:history="1">
        <w:r w:rsidRPr="00C81F7B">
          <w:rPr>
            <w:rStyle w:val="Hyperlink"/>
            <w:rFonts w:ascii="Arial"/>
          </w:rPr>
          <w:t>mohammed.eldoadoa@srft.nhs.uk</w:t>
        </w:r>
      </w:hyperlink>
    </w:p>
    <w:p w14:paraId="3E57CCC9" w14:textId="638F6452" w:rsidR="00775224" w:rsidRDefault="00775224" w:rsidP="0019555F">
      <w:pPr>
        <w:rPr>
          <w:rFonts w:ascii="Arial"/>
        </w:rPr>
      </w:pPr>
    </w:p>
    <w:p w14:paraId="6464D14D" w14:textId="5D6CEE18" w:rsidR="004E4B9F" w:rsidRDefault="00775224" w:rsidP="0019555F">
      <w:r>
        <w:rPr>
          <w:rFonts w:ascii="Arial"/>
        </w:rPr>
        <w:t>Mobile no: 07392699365</w:t>
      </w:r>
    </w:p>
    <w:sectPr w:rsidR="004E4B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262AE8"/>
    <w:multiLevelType w:val="hybridMultilevel"/>
    <w:tmpl w:val="8EB8C33C"/>
    <w:lvl w:ilvl="0" w:tplc="6E0AF136">
      <w:start w:val="1"/>
      <w:numFmt w:val="decimal"/>
      <w:lvlText w:val="%1."/>
      <w:lvlJc w:val="left"/>
      <w:pPr>
        <w:tabs>
          <w:tab w:val="num" w:pos="720"/>
        </w:tabs>
        <w:ind w:left="720" w:hanging="360"/>
      </w:pPr>
    </w:lvl>
    <w:lvl w:ilvl="1" w:tplc="479A4F82" w:tentative="1">
      <w:start w:val="1"/>
      <w:numFmt w:val="decimal"/>
      <w:lvlText w:val="%2."/>
      <w:lvlJc w:val="left"/>
      <w:pPr>
        <w:tabs>
          <w:tab w:val="num" w:pos="1440"/>
        </w:tabs>
        <w:ind w:left="1440" w:hanging="360"/>
      </w:pPr>
    </w:lvl>
    <w:lvl w:ilvl="2" w:tplc="B8CE66E0" w:tentative="1">
      <w:start w:val="1"/>
      <w:numFmt w:val="decimal"/>
      <w:lvlText w:val="%3."/>
      <w:lvlJc w:val="left"/>
      <w:pPr>
        <w:tabs>
          <w:tab w:val="num" w:pos="2160"/>
        </w:tabs>
        <w:ind w:left="2160" w:hanging="360"/>
      </w:pPr>
    </w:lvl>
    <w:lvl w:ilvl="3" w:tplc="136C56A6" w:tentative="1">
      <w:start w:val="1"/>
      <w:numFmt w:val="decimal"/>
      <w:lvlText w:val="%4."/>
      <w:lvlJc w:val="left"/>
      <w:pPr>
        <w:tabs>
          <w:tab w:val="num" w:pos="2880"/>
        </w:tabs>
        <w:ind w:left="2880" w:hanging="360"/>
      </w:pPr>
    </w:lvl>
    <w:lvl w:ilvl="4" w:tplc="94C49A9A" w:tentative="1">
      <w:start w:val="1"/>
      <w:numFmt w:val="decimal"/>
      <w:lvlText w:val="%5."/>
      <w:lvlJc w:val="left"/>
      <w:pPr>
        <w:tabs>
          <w:tab w:val="num" w:pos="3600"/>
        </w:tabs>
        <w:ind w:left="3600" w:hanging="360"/>
      </w:pPr>
    </w:lvl>
    <w:lvl w:ilvl="5" w:tplc="8A42746E" w:tentative="1">
      <w:start w:val="1"/>
      <w:numFmt w:val="decimal"/>
      <w:lvlText w:val="%6."/>
      <w:lvlJc w:val="left"/>
      <w:pPr>
        <w:tabs>
          <w:tab w:val="num" w:pos="4320"/>
        </w:tabs>
        <w:ind w:left="4320" w:hanging="360"/>
      </w:pPr>
    </w:lvl>
    <w:lvl w:ilvl="6" w:tplc="11FC32F8" w:tentative="1">
      <w:start w:val="1"/>
      <w:numFmt w:val="decimal"/>
      <w:lvlText w:val="%7."/>
      <w:lvlJc w:val="left"/>
      <w:pPr>
        <w:tabs>
          <w:tab w:val="num" w:pos="5040"/>
        </w:tabs>
        <w:ind w:left="5040" w:hanging="360"/>
      </w:pPr>
    </w:lvl>
    <w:lvl w:ilvl="7" w:tplc="DCC86FF0" w:tentative="1">
      <w:start w:val="1"/>
      <w:numFmt w:val="decimal"/>
      <w:lvlText w:val="%8."/>
      <w:lvlJc w:val="left"/>
      <w:pPr>
        <w:tabs>
          <w:tab w:val="num" w:pos="5760"/>
        </w:tabs>
        <w:ind w:left="5760" w:hanging="360"/>
      </w:pPr>
    </w:lvl>
    <w:lvl w:ilvl="8" w:tplc="D2C43DBA" w:tentative="1">
      <w:start w:val="1"/>
      <w:numFmt w:val="decimal"/>
      <w:lvlText w:val="%9."/>
      <w:lvlJc w:val="left"/>
      <w:pPr>
        <w:tabs>
          <w:tab w:val="num" w:pos="6480"/>
        </w:tabs>
        <w:ind w:left="6480" w:hanging="360"/>
      </w:pPr>
    </w:lvl>
  </w:abstractNum>
  <w:num w:numId="1" w16cid:durableId="1706365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DC4"/>
    <w:rsid w:val="0019555F"/>
    <w:rsid w:val="003E343E"/>
    <w:rsid w:val="004E4B9F"/>
    <w:rsid w:val="00623BDC"/>
    <w:rsid w:val="006C3C67"/>
    <w:rsid w:val="00710EED"/>
    <w:rsid w:val="00775224"/>
    <w:rsid w:val="009A7C23"/>
    <w:rsid w:val="00A70DC4"/>
    <w:rsid w:val="00F669D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A7ACB"/>
  <w15:chartTrackingRefBased/>
  <w15:docId w15:val="{B4B0C629-B251-4F14-9EF9-AF04A0540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5224"/>
    <w:rPr>
      <w:color w:val="0563C1" w:themeColor="hyperlink"/>
      <w:u w:val="single"/>
    </w:rPr>
  </w:style>
  <w:style w:type="character" w:styleId="UnresolvedMention">
    <w:name w:val="Unresolved Mention"/>
    <w:basedOn w:val="DefaultParagraphFont"/>
    <w:uiPriority w:val="99"/>
    <w:semiHidden/>
    <w:unhideWhenUsed/>
    <w:rsid w:val="007752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3852">
      <w:bodyDiv w:val="1"/>
      <w:marLeft w:val="0"/>
      <w:marRight w:val="0"/>
      <w:marTop w:val="0"/>
      <w:marBottom w:val="0"/>
      <w:divBdr>
        <w:top w:val="none" w:sz="0" w:space="0" w:color="auto"/>
        <w:left w:val="none" w:sz="0" w:space="0" w:color="auto"/>
        <w:bottom w:val="none" w:sz="0" w:space="0" w:color="auto"/>
        <w:right w:val="none" w:sz="0" w:space="0" w:color="auto"/>
      </w:divBdr>
    </w:div>
    <w:div w:id="157159832">
      <w:bodyDiv w:val="1"/>
      <w:marLeft w:val="0"/>
      <w:marRight w:val="0"/>
      <w:marTop w:val="0"/>
      <w:marBottom w:val="0"/>
      <w:divBdr>
        <w:top w:val="none" w:sz="0" w:space="0" w:color="auto"/>
        <w:left w:val="none" w:sz="0" w:space="0" w:color="auto"/>
        <w:bottom w:val="none" w:sz="0" w:space="0" w:color="auto"/>
        <w:right w:val="none" w:sz="0" w:space="0" w:color="auto"/>
      </w:divBdr>
    </w:div>
    <w:div w:id="449515352">
      <w:bodyDiv w:val="1"/>
      <w:marLeft w:val="0"/>
      <w:marRight w:val="0"/>
      <w:marTop w:val="0"/>
      <w:marBottom w:val="0"/>
      <w:divBdr>
        <w:top w:val="none" w:sz="0" w:space="0" w:color="auto"/>
        <w:left w:val="none" w:sz="0" w:space="0" w:color="auto"/>
        <w:bottom w:val="none" w:sz="0" w:space="0" w:color="auto"/>
        <w:right w:val="none" w:sz="0" w:space="0" w:color="auto"/>
      </w:divBdr>
    </w:div>
    <w:div w:id="536940316">
      <w:bodyDiv w:val="1"/>
      <w:marLeft w:val="0"/>
      <w:marRight w:val="0"/>
      <w:marTop w:val="0"/>
      <w:marBottom w:val="0"/>
      <w:divBdr>
        <w:top w:val="none" w:sz="0" w:space="0" w:color="auto"/>
        <w:left w:val="none" w:sz="0" w:space="0" w:color="auto"/>
        <w:bottom w:val="none" w:sz="0" w:space="0" w:color="auto"/>
        <w:right w:val="none" w:sz="0" w:space="0" w:color="auto"/>
      </w:divBdr>
    </w:div>
    <w:div w:id="552540905">
      <w:bodyDiv w:val="1"/>
      <w:marLeft w:val="0"/>
      <w:marRight w:val="0"/>
      <w:marTop w:val="0"/>
      <w:marBottom w:val="0"/>
      <w:divBdr>
        <w:top w:val="none" w:sz="0" w:space="0" w:color="auto"/>
        <w:left w:val="none" w:sz="0" w:space="0" w:color="auto"/>
        <w:bottom w:val="none" w:sz="0" w:space="0" w:color="auto"/>
        <w:right w:val="none" w:sz="0" w:space="0" w:color="auto"/>
      </w:divBdr>
    </w:div>
    <w:div w:id="1085035338">
      <w:bodyDiv w:val="1"/>
      <w:marLeft w:val="0"/>
      <w:marRight w:val="0"/>
      <w:marTop w:val="0"/>
      <w:marBottom w:val="0"/>
      <w:divBdr>
        <w:top w:val="none" w:sz="0" w:space="0" w:color="auto"/>
        <w:left w:val="none" w:sz="0" w:space="0" w:color="auto"/>
        <w:bottom w:val="none" w:sz="0" w:space="0" w:color="auto"/>
        <w:right w:val="none" w:sz="0" w:space="0" w:color="auto"/>
      </w:divBdr>
    </w:div>
    <w:div w:id="1129855161">
      <w:bodyDiv w:val="1"/>
      <w:marLeft w:val="0"/>
      <w:marRight w:val="0"/>
      <w:marTop w:val="0"/>
      <w:marBottom w:val="0"/>
      <w:divBdr>
        <w:top w:val="none" w:sz="0" w:space="0" w:color="auto"/>
        <w:left w:val="none" w:sz="0" w:space="0" w:color="auto"/>
        <w:bottom w:val="none" w:sz="0" w:space="0" w:color="auto"/>
        <w:right w:val="none" w:sz="0" w:space="0" w:color="auto"/>
      </w:divBdr>
    </w:div>
    <w:div w:id="1331327177">
      <w:bodyDiv w:val="1"/>
      <w:marLeft w:val="0"/>
      <w:marRight w:val="0"/>
      <w:marTop w:val="0"/>
      <w:marBottom w:val="0"/>
      <w:divBdr>
        <w:top w:val="none" w:sz="0" w:space="0" w:color="auto"/>
        <w:left w:val="none" w:sz="0" w:space="0" w:color="auto"/>
        <w:bottom w:val="none" w:sz="0" w:space="0" w:color="auto"/>
        <w:right w:val="none" w:sz="0" w:space="0" w:color="auto"/>
      </w:divBdr>
      <w:divsChild>
        <w:div w:id="1110591582">
          <w:marLeft w:val="0"/>
          <w:marRight w:val="0"/>
          <w:marTop w:val="0"/>
          <w:marBottom w:val="240"/>
          <w:divBdr>
            <w:top w:val="none" w:sz="0" w:space="0" w:color="auto"/>
            <w:left w:val="none" w:sz="0" w:space="0" w:color="auto"/>
            <w:bottom w:val="none" w:sz="0" w:space="0" w:color="auto"/>
            <w:right w:val="none" w:sz="0" w:space="0" w:color="auto"/>
          </w:divBdr>
        </w:div>
        <w:div w:id="179777651">
          <w:marLeft w:val="0"/>
          <w:marRight w:val="0"/>
          <w:marTop w:val="0"/>
          <w:marBottom w:val="240"/>
          <w:divBdr>
            <w:top w:val="none" w:sz="0" w:space="0" w:color="auto"/>
            <w:left w:val="none" w:sz="0" w:space="0" w:color="auto"/>
            <w:bottom w:val="none" w:sz="0" w:space="0" w:color="auto"/>
            <w:right w:val="none" w:sz="0" w:space="0" w:color="auto"/>
          </w:divBdr>
        </w:div>
      </w:divsChild>
    </w:div>
    <w:div w:id="1348754018">
      <w:bodyDiv w:val="1"/>
      <w:marLeft w:val="0"/>
      <w:marRight w:val="0"/>
      <w:marTop w:val="0"/>
      <w:marBottom w:val="0"/>
      <w:divBdr>
        <w:top w:val="none" w:sz="0" w:space="0" w:color="auto"/>
        <w:left w:val="none" w:sz="0" w:space="0" w:color="auto"/>
        <w:bottom w:val="none" w:sz="0" w:space="0" w:color="auto"/>
        <w:right w:val="none" w:sz="0" w:space="0" w:color="auto"/>
      </w:divBdr>
    </w:div>
    <w:div w:id="1417436985">
      <w:bodyDiv w:val="1"/>
      <w:marLeft w:val="0"/>
      <w:marRight w:val="0"/>
      <w:marTop w:val="0"/>
      <w:marBottom w:val="0"/>
      <w:divBdr>
        <w:top w:val="none" w:sz="0" w:space="0" w:color="auto"/>
        <w:left w:val="none" w:sz="0" w:space="0" w:color="auto"/>
        <w:bottom w:val="none" w:sz="0" w:space="0" w:color="auto"/>
        <w:right w:val="none" w:sz="0" w:space="0" w:color="auto"/>
      </w:divBdr>
    </w:div>
    <w:div w:id="1924559421">
      <w:bodyDiv w:val="1"/>
      <w:marLeft w:val="0"/>
      <w:marRight w:val="0"/>
      <w:marTop w:val="0"/>
      <w:marBottom w:val="0"/>
      <w:divBdr>
        <w:top w:val="none" w:sz="0" w:space="0" w:color="auto"/>
        <w:left w:val="none" w:sz="0" w:space="0" w:color="auto"/>
        <w:bottom w:val="none" w:sz="0" w:space="0" w:color="auto"/>
        <w:right w:val="none" w:sz="0" w:space="0" w:color="auto"/>
      </w:divBdr>
    </w:div>
    <w:div w:id="2097435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ohammed.eldoadoa@srft.nhs.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ohammedfathieldoadoa@gmail.com" TargetMode="Externa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oham\Downloads\hospital%20stay%20(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n-GB"/>
              <a:t>HOSPITAL</a:t>
            </a:r>
            <a:r>
              <a:rPr lang="en-GB" baseline="0"/>
              <a:t> STAY</a:t>
            </a:r>
            <a:endParaRPr lang="en-GB"/>
          </a:p>
        </c:rich>
      </c:tx>
      <c:overlay val="0"/>
      <c:spPr>
        <a:noFill/>
        <a:ln>
          <a:noFill/>
        </a:ln>
        <a:effectLst/>
      </c:spPr>
      <c:txPr>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errBars>
            <c:errBarType val="plus"/>
            <c:errValType val="cust"/>
            <c:noEndCap val="0"/>
            <c:plus>
              <c:numRef>
                <c:f>Sheet1!$I$22:$J$22</c:f>
                <c:numCache>
                  <c:formatCode>General</c:formatCode>
                  <c:ptCount val="2"/>
                  <c:pt idx="0">
                    <c:v>0.2</c:v>
                  </c:pt>
                  <c:pt idx="1">
                    <c:v>0.4</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val>
            <c:numRef>
              <c:f>Sheet1!$H$22:$H$23</c:f>
              <c:numCache>
                <c:formatCode>General</c:formatCode>
                <c:ptCount val="2"/>
                <c:pt idx="0">
                  <c:v>1.85</c:v>
                </c:pt>
                <c:pt idx="1">
                  <c:v>2.94</c:v>
                </c:pt>
              </c:numCache>
            </c:numRef>
          </c:val>
          <c:extLst>
            <c:ext xmlns:c16="http://schemas.microsoft.com/office/drawing/2014/chart" uri="{C3380CC4-5D6E-409C-BE32-E72D297353CC}">
              <c16:uniqueId val="{00000000-35F3-4189-B5C1-3481374ABA12}"/>
            </c:ext>
          </c:extLst>
        </c:ser>
        <c:dLbls>
          <c:dLblPos val="inEnd"/>
          <c:showLegendKey val="0"/>
          <c:showVal val="1"/>
          <c:showCatName val="0"/>
          <c:showSerName val="0"/>
          <c:showPercent val="0"/>
          <c:showBubbleSize val="0"/>
        </c:dLbls>
        <c:gapWidth val="159"/>
        <c:overlap val="-9"/>
        <c:axId val="1848132000"/>
        <c:axId val="1848133632"/>
      </c:barChart>
      <c:catAx>
        <c:axId val="1848132000"/>
        <c:scaling>
          <c:orientation val="minMax"/>
        </c:scaling>
        <c:delete val="1"/>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GB"/>
                  <a:t>     MIS</a:t>
                </a:r>
                <a:r>
                  <a:rPr lang="en-GB" baseline="0"/>
                  <a:t>                                                                         OPEN </a:t>
                </a:r>
                <a:endParaRPr lang="en-GB"/>
              </a:p>
            </c:rich>
          </c:tx>
          <c:layout>
            <c:manualLayout>
              <c:xMode val="edge"/>
              <c:yMode val="edge"/>
              <c:x val="0.24547222222222223"/>
              <c:y val="0.88898148148148171"/>
            </c:manualLayout>
          </c:layout>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majorTickMark val="none"/>
        <c:minorTickMark val="none"/>
        <c:tickLblPos val="nextTo"/>
        <c:crossAx val="1848133632"/>
        <c:crosses val="autoZero"/>
        <c:auto val="1"/>
        <c:lblAlgn val="ctr"/>
        <c:lblOffset val="100"/>
        <c:noMultiLvlLbl val="0"/>
      </c:catAx>
      <c:valAx>
        <c:axId val="1848133632"/>
        <c:scaling>
          <c:orientation val="minMax"/>
          <c:max val="4"/>
        </c:scaling>
        <c:delete val="0"/>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GB"/>
                  <a:t>dAYS</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8132000"/>
        <c:crosses val="autoZero"/>
        <c:crossBetween val="between"/>
        <c:maj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573</Words>
  <Characters>3268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7824</dc:creator>
  <cp:keywords/>
  <dc:description/>
  <cp:lastModifiedBy>7824</cp:lastModifiedBy>
  <cp:revision>1</cp:revision>
  <dcterms:created xsi:type="dcterms:W3CDTF">2022-08-13T11:27:00Z</dcterms:created>
  <dcterms:modified xsi:type="dcterms:W3CDTF">2022-08-13T13:06:00Z</dcterms:modified>
</cp:coreProperties>
</file>