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8BF" w:rsidRPr="001A0437" w:rsidRDefault="000428BF" w:rsidP="000428BF">
      <w:pPr>
        <w:spacing w:after="0" w:line="360" w:lineRule="auto"/>
        <w:contextualSpacing/>
        <w:jc w:val="both"/>
        <w:rPr>
          <w:rFonts w:ascii="Arial" w:hAnsi="Arial" w:cs="Arial"/>
          <w:color w:val="2E74B5" w:themeColor="accent1" w:themeShade="BF"/>
          <w:sz w:val="36"/>
          <w:szCs w:val="36"/>
        </w:rPr>
      </w:pPr>
      <w:proofErr w:type="spellStart"/>
      <w:r w:rsidRPr="001A0437">
        <w:rPr>
          <w:rFonts w:ascii="Arial" w:hAnsi="Arial" w:cs="Arial"/>
          <w:color w:val="2E74B5" w:themeColor="accent1" w:themeShade="BF"/>
          <w:sz w:val="36"/>
          <w:szCs w:val="36"/>
        </w:rPr>
        <w:t>Transforaminal</w:t>
      </w:r>
      <w:proofErr w:type="spellEnd"/>
      <w:r w:rsidRPr="001A0437">
        <w:rPr>
          <w:rFonts w:ascii="Arial" w:hAnsi="Arial" w:cs="Arial"/>
          <w:color w:val="2E74B5" w:themeColor="accent1" w:themeShade="BF"/>
          <w:sz w:val="36"/>
          <w:szCs w:val="36"/>
        </w:rPr>
        <w:t xml:space="preserve"> injection with autologous platelet-rich plasma in lumbar d</w:t>
      </w:r>
      <w:r w:rsidR="005115BF">
        <w:rPr>
          <w:rFonts w:ascii="Arial" w:hAnsi="Arial" w:cs="Arial"/>
          <w:color w:val="2E74B5" w:themeColor="accent1" w:themeShade="BF"/>
          <w:sz w:val="36"/>
          <w:szCs w:val="36"/>
        </w:rPr>
        <w:t xml:space="preserve">isc herniation: a single-center </w:t>
      </w:r>
      <w:r w:rsidRPr="001A0437">
        <w:rPr>
          <w:rFonts w:ascii="Arial" w:hAnsi="Arial" w:cs="Arial"/>
          <w:color w:val="2E74B5" w:themeColor="accent1" w:themeShade="BF"/>
          <w:sz w:val="36"/>
          <w:szCs w:val="36"/>
        </w:rPr>
        <w:t>prospective study in Vietnam</w:t>
      </w:r>
      <w:r w:rsidRPr="001A0437">
        <w:rPr>
          <w:rFonts w:ascii="Arial" w:hAnsi="Arial" w:cs="Arial"/>
          <w:color w:val="2E74B5" w:themeColor="accent1" w:themeShade="BF"/>
          <w:sz w:val="36"/>
          <w:szCs w:val="36"/>
        </w:rPr>
        <w:t>.</w:t>
      </w:r>
    </w:p>
    <w:p w:rsidR="000428BF" w:rsidRPr="001A0437" w:rsidRDefault="000428BF" w:rsidP="000428BF">
      <w:pPr>
        <w:spacing w:after="0" w:line="360" w:lineRule="auto"/>
        <w:contextualSpacing/>
        <w:jc w:val="both"/>
        <w:rPr>
          <w:rFonts w:ascii="Arial" w:hAnsi="Arial" w:cs="Arial"/>
          <w:sz w:val="18"/>
          <w:szCs w:val="18"/>
        </w:rPr>
      </w:pPr>
      <w:r w:rsidRPr="001A0437">
        <w:rPr>
          <w:rFonts w:ascii="Arial" w:hAnsi="Arial" w:cs="Arial"/>
          <w:sz w:val="18"/>
          <w:szCs w:val="18"/>
        </w:rPr>
        <w:t>Viet-</w:t>
      </w:r>
      <w:proofErr w:type="spellStart"/>
      <w:r w:rsidRPr="001A0437">
        <w:rPr>
          <w:rFonts w:ascii="Arial" w:hAnsi="Arial" w:cs="Arial"/>
          <w:sz w:val="18"/>
          <w:szCs w:val="18"/>
        </w:rPr>
        <w:t>Thang</w:t>
      </w:r>
      <w:proofErr w:type="spellEnd"/>
      <w:r w:rsidRPr="001A0437">
        <w:rPr>
          <w:rFonts w:ascii="Arial" w:hAnsi="Arial" w:cs="Arial"/>
          <w:sz w:val="18"/>
          <w:szCs w:val="18"/>
        </w:rPr>
        <w:t xml:space="preserve"> Le MD,</w:t>
      </w:r>
      <w:r w:rsidRPr="001A0437">
        <w:rPr>
          <w:rFonts w:ascii="Arial" w:hAnsi="Arial" w:cs="Arial"/>
          <w:sz w:val="18"/>
          <w:szCs w:val="18"/>
        </w:rPr>
        <w:t xml:space="preserve"> PhD,</w:t>
      </w:r>
      <w:r w:rsidRPr="001A0437">
        <w:rPr>
          <w:rFonts w:ascii="Arial" w:hAnsi="Arial" w:cs="Arial"/>
          <w:sz w:val="18"/>
          <w:szCs w:val="18"/>
        </w:rPr>
        <w:t xml:space="preserve"> Luan </w:t>
      </w:r>
      <w:proofErr w:type="spellStart"/>
      <w:r w:rsidRPr="001A0437">
        <w:rPr>
          <w:rFonts w:ascii="Arial" w:hAnsi="Arial" w:cs="Arial"/>
          <w:sz w:val="18"/>
          <w:szCs w:val="18"/>
        </w:rPr>
        <w:t>Trung</w:t>
      </w:r>
      <w:proofErr w:type="spellEnd"/>
      <w:r w:rsidRPr="001A0437">
        <w:rPr>
          <w:rFonts w:ascii="Arial" w:hAnsi="Arial" w:cs="Arial"/>
          <w:sz w:val="18"/>
          <w:szCs w:val="18"/>
        </w:rPr>
        <w:t xml:space="preserve"> Nguyen Dao MD, </w:t>
      </w:r>
      <w:proofErr w:type="spellStart"/>
      <w:r w:rsidRPr="001A0437">
        <w:rPr>
          <w:rFonts w:ascii="Arial" w:hAnsi="Arial" w:cs="Arial"/>
          <w:sz w:val="18"/>
          <w:szCs w:val="18"/>
        </w:rPr>
        <w:t>Anh</w:t>
      </w:r>
      <w:proofErr w:type="spellEnd"/>
      <w:r w:rsidRPr="001A0437">
        <w:rPr>
          <w:rFonts w:ascii="Arial" w:hAnsi="Arial" w:cs="Arial"/>
          <w:sz w:val="18"/>
          <w:szCs w:val="18"/>
        </w:rPr>
        <w:t xml:space="preserve"> Minh Nguyen MD, PhD</w:t>
      </w:r>
    </w:p>
    <w:p w:rsidR="000428BF" w:rsidRPr="001A0437" w:rsidRDefault="001A0437" w:rsidP="000428BF">
      <w:pPr>
        <w:spacing w:after="0" w:line="360" w:lineRule="auto"/>
        <w:contextualSpacing/>
        <w:jc w:val="both"/>
        <w:rPr>
          <w:rStyle w:val="markedcontent"/>
          <w:rFonts w:ascii="Arial" w:hAnsi="Arial" w:cs="Arial"/>
          <w:b/>
          <w:color w:val="C45911" w:themeColor="accent2" w:themeShade="BF"/>
          <w:sz w:val="20"/>
          <w:szCs w:val="20"/>
        </w:rPr>
      </w:pPr>
      <w:r w:rsidRPr="001A0437">
        <w:rPr>
          <w:rStyle w:val="markedcontent"/>
          <w:rFonts w:ascii="Arial" w:hAnsi="Arial" w:cs="Arial"/>
          <w:b/>
          <w:color w:val="C45911" w:themeColor="accent2" w:themeShade="BF"/>
          <w:sz w:val="20"/>
          <w:szCs w:val="20"/>
        </w:rPr>
        <w:t>Abstract</w:t>
      </w:r>
    </w:p>
    <w:p w:rsidR="001A0437" w:rsidRDefault="001A0437" w:rsidP="000428BF">
      <w:pPr>
        <w:spacing w:after="0" w:line="360" w:lineRule="auto"/>
        <w:contextualSpacing/>
        <w:jc w:val="both"/>
        <w:rPr>
          <w:rStyle w:val="markedcontent"/>
          <w:rFonts w:ascii="Arial" w:hAnsi="Arial" w:cs="Arial"/>
          <w:sz w:val="18"/>
          <w:szCs w:val="18"/>
        </w:rPr>
        <w:sectPr w:rsidR="001A0437">
          <w:pgSz w:w="12240" w:h="15840"/>
          <w:pgMar w:top="1440" w:right="1440" w:bottom="1440" w:left="1440" w:header="720" w:footer="720" w:gutter="0"/>
          <w:cols w:space="720"/>
          <w:docGrid w:linePitch="360"/>
        </w:sectPr>
      </w:pPr>
    </w:p>
    <w:p w:rsidR="000428BF" w:rsidRPr="005115BF" w:rsidRDefault="000428BF" w:rsidP="000428BF">
      <w:pPr>
        <w:spacing w:after="0" w:line="360" w:lineRule="auto"/>
        <w:contextualSpacing/>
        <w:jc w:val="both"/>
        <w:rPr>
          <w:rStyle w:val="markedcontent"/>
          <w:rFonts w:ascii="Arial" w:hAnsi="Arial" w:cs="Arial"/>
          <w:sz w:val="14"/>
          <w:szCs w:val="14"/>
        </w:rPr>
      </w:pPr>
      <w:r w:rsidRPr="005115BF">
        <w:rPr>
          <w:rStyle w:val="markedcontent"/>
          <w:rFonts w:ascii="Arial" w:hAnsi="Arial" w:cs="Arial"/>
          <w:sz w:val="14"/>
          <w:szCs w:val="14"/>
        </w:rPr>
        <w:lastRenderedPageBreak/>
        <w:t>Statement of the Problem</w:t>
      </w:r>
      <w:r w:rsidRPr="005115BF">
        <w:rPr>
          <w:rStyle w:val="markedcontent"/>
          <w:rFonts w:ascii="Arial" w:hAnsi="Arial" w:cs="Arial"/>
          <w:sz w:val="14"/>
          <w:szCs w:val="14"/>
        </w:rPr>
        <w:t xml:space="preserve">: Lumbar radiculopathy is a major health problem, which often treated by neurosurgery or guided lumbar epidural steroids for pain relief. We used autologous Platelet Rich Plasma (PRP) as a novel pharmaceutical agent that has strongly emerged in recent years to treat patients of lumbar disc herniation. From that, we evaluated the efficacy of PRP via </w:t>
      </w:r>
      <w:proofErr w:type="spellStart"/>
      <w:r w:rsidRPr="005115BF">
        <w:rPr>
          <w:rStyle w:val="markedcontent"/>
          <w:rFonts w:ascii="Arial" w:hAnsi="Arial" w:cs="Arial"/>
          <w:sz w:val="14"/>
          <w:szCs w:val="14"/>
        </w:rPr>
        <w:t>transforaminal</w:t>
      </w:r>
      <w:proofErr w:type="spellEnd"/>
      <w:r w:rsidRPr="005115BF">
        <w:rPr>
          <w:rStyle w:val="markedcontent"/>
          <w:rFonts w:ascii="Arial" w:hAnsi="Arial" w:cs="Arial"/>
          <w:sz w:val="14"/>
          <w:szCs w:val="14"/>
        </w:rPr>
        <w:t xml:space="preserve"> route in treatment of radicular pain in patien</w:t>
      </w:r>
      <w:r w:rsidRPr="005115BF">
        <w:rPr>
          <w:rStyle w:val="markedcontent"/>
          <w:rFonts w:ascii="Arial" w:hAnsi="Arial" w:cs="Arial"/>
          <w:sz w:val="14"/>
          <w:szCs w:val="14"/>
        </w:rPr>
        <w:t xml:space="preserve">ts with lumbar disc herniation. </w:t>
      </w:r>
      <w:r w:rsidRPr="005115BF">
        <w:rPr>
          <w:rStyle w:val="markedcontent"/>
          <w:rFonts w:ascii="Arial" w:hAnsi="Arial" w:cs="Arial"/>
          <w:sz w:val="14"/>
          <w:szCs w:val="14"/>
        </w:rPr>
        <w:t>Method</w:t>
      </w:r>
      <w:r w:rsidRPr="005115BF">
        <w:rPr>
          <w:rStyle w:val="markedcontent"/>
          <w:rFonts w:ascii="Arial" w:hAnsi="Arial" w:cs="Arial"/>
          <w:sz w:val="14"/>
          <w:szCs w:val="14"/>
        </w:rPr>
        <w:t>ology and Theoretical Orientation</w:t>
      </w:r>
      <w:r w:rsidRPr="005115BF">
        <w:rPr>
          <w:rStyle w:val="markedcontent"/>
          <w:rFonts w:ascii="Arial" w:hAnsi="Arial" w:cs="Arial"/>
          <w:sz w:val="14"/>
          <w:szCs w:val="14"/>
        </w:rPr>
        <w:t xml:space="preserve">: Twenty-five patients were enrolled and injected with 4 ml of autologous platelet rich plasma under fluoroscopic guidance via </w:t>
      </w:r>
      <w:proofErr w:type="spellStart"/>
      <w:r w:rsidRPr="005115BF">
        <w:rPr>
          <w:rStyle w:val="markedcontent"/>
          <w:rFonts w:ascii="Arial" w:hAnsi="Arial" w:cs="Arial"/>
          <w:sz w:val="14"/>
          <w:szCs w:val="14"/>
        </w:rPr>
        <w:t>transforaminal</w:t>
      </w:r>
      <w:proofErr w:type="spellEnd"/>
      <w:r w:rsidRPr="005115BF">
        <w:rPr>
          <w:rStyle w:val="markedcontent"/>
          <w:rFonts w:ascii="Arial" w:hAnsi="Arial" w:cs="Arial"/>
          <w:sz w:val="14"/>
          <w:szCs w:val="14"/>
        </w:rPr>
        <w:t xml:space="preserve"> epidural injection into area of affected nerve root. They were followed using Visual Analogue Scale (VAS), Modified </w:t>
      </w:r>
      <w:proofErr w:type="spellStart"/>
      <w:r w:rsidRPr="005115BF">
        <w:rPr>
          <w:rStyle w:val="markedcontent"/>
          <w:rFonts w:ascii="Arial" w:hAnsi="Arial" w:cs="Arial"/>
          <w:sz w:val="14"/>
          <w:szCs w:val="14"/>
        </w:rPr>
        <w:t>Oswestry</w:t>
      </w:r>
      <w:proofErr w:type="spellEnd"/>
      <w:r w:rsidRPr="005115BF">
        <w:rPr>
          <w:rStyle w:val="markedcontent"/>
          <w:rFonts w:ascii="Arial" w:hAnsi="Arial" w:cs="Arial"/>
          <w:sz w:val="14"/>
          <w:szCs w:val="14"/>
        </w:rPr>
        <w:t xml:space="preserve"> Disability Index (ODI) and Straight Leg Raising Test </w:t>
      </w:r>
      <w:r w:rsidRPr="005115BF">
        <w:rPr>
          <w:rStyle w:val="markedcontent"/>
          <w:rFonts w:ascii="Arial" w:hAnsi="Arial" w:cs="Arial"/>
          <w:sz w:val="14"/>
          <w:szCs w:val="14"/>
        </w:rPr>
        <w:t>(SLRT) for clinical assessment. Findings</w:t>
      </w:r>
      <w:r w:rsidRPr="005115BF">
        <w:rPr>
          <w:rStyle w:val="markedcontent"/>
          <w:rFonts w:ascii="Arial" w:hAnsi="Arial" w:cs="Arial"/>
          <w:b/>
          <w:sz w:val="14"/>
          <w:szCs w:val="14"/>
        </w:rPr>
        <w:t>:</w:t>
      </w:r>
      <w:r w:rsidRPr="005115BF">
        <w:rPr>
          <w:rStyle w:val="markedcontent"/>
          <w:rFonts w:ascii="Arial" w:hAnsi="Arial" w:cs="Arial"/>
          <w:sz w:val="14"/>
          <w:szCs w:val="14"/>
        </w:rPr>
        <w:t xml:space="preserve"> Patients who received </w:t>
      </w:r>
      <w:proofErr w:type="spellStart"/>
      <w:r w:rsidRPr="005115BF">
        <w:rPr>
          <w:rStyle w:val="markedcontent"/>
          <w:rFonts w:ascii="Arial" w:hAnsi="Arial" w:cs="Arial"/>
          <w:sz w:val="14"/>
          <w:szCs w:val="14"/>
        </w:rPr>
        <w:t>transforaminal</w:t>
      </w:r>
      <w:proofErr w:type="spellEnd"/>
      <w:r w:rsidRPr="005115BF">
        <w:rPr>
          <w:rStyle w:val="markedcontent"/>
          <w:rFonts w:ascii="Arial" w:hAnsi="Arial" w:cs="Arial"/>
          <w:sz w:val="14"/>
          <w:szCs w:val="14"/>
        </w:rPr>
        <w:t xml:space="preserve"> injections with autologous PRP showed statistically significant improvements on all three evaluation tools (VAS, ODI, </w:t>
      </w:r>
      <w:proofErr w:type="gramStart"/>
      <w:r w:rsidRPr="005115BF">
        <w:rPr>
          <w:rStyle w:val="markedcontent"/>
          <w:rFonts w:ascii="Arial" w:hAnsi="Arial" w:cs="Arial"/>
          <w:sz w:val="14"/>
          <w:szCs w:val="14"/>
        </w:rPr>
        <w:t>SLRT</w:t>
      </w:r>
      <w:proofErr w:type="gramEnd"/>
      <w:r w:rsidRPr="005115BF">
        <w:rPr>
          <w:rStyle w:val="markedcontent"/>
          <w:rFonts w:ascii="Arial" w:hAnsi="Arial" w:cs="Arial"/>
          <w:sz w:val="14"/>
          <w:szCs w:val="14"/>
        </w:rPr>
        <w:t>). The improvements were sustained over twelve-month follow-up and there were no associated complications.</w:t>
      </w:r>
      <w:r w:rsidRPr="005115BF">
        <w:rPr>
          <w:rStyle w:val="markedcontent"/>
          <w:rFonts w:ascii="Arial" w:hAnsi="Arial" w:cs="Arial"/>
          <w:sz w:val="14"/>
          <w:szCs w:val="14"/>
        </w:rPr>
        <w:t xml:space="preserve"> </w:t>
      </w:r>
      <w:r w:rsidRPr="005115BF">
        <w:rPr>
          <w:rStyle w:val="markedcontent"/>
          <w:rFonts w:ascii="Arial" w:hAnsi="Arial" w:cs="Arial"/>
          <w:sz w:val="14"/>
          <w:szCs w:val="14"/>
        </w:rPr>
        <w:t>Conclusion</w:t>
      </w:r>
      <w:r w:rsidRPr="005115BF">
        <w:rPr>
          <w:rStyle w:val="markedcontent"/>
          <w:rFonts w:ascii="Arial" w:hAnsi="Arial" w:cs="Arial"/>
          <w:sz w:val="14"/>
          <w:szCs w:val="14"/>
        </w:rPr>
        <w:t xml:space="preserve"> &amp; Significance</w:t>
      </w:r>
      <w:r w:rsidRPr="005115BF">
        <w:rPr>
          <w:rStyle w:val="markedcontent"/>
          <w:rFonts w:ascii="Arial" w:hAnsi="Arial" w:cs="Arial"/>
          <w:sz w:val="14"/>
          <w:szCs w:val="14"/>
        </w:rPr>
        <w:t xml:space="preserve">: </w:t>
      </w:r>
      <w:proofErr w:type="spellStart"/>
      <w:r w:rsidRPr="005115BF">
        <w:rPr>
          <w:rStyle w:val="markedcontent"/>
          <w:rFonts w:ascii="Arial" w:hAnsi="Arial" w:cs="Arial"/>
          <w:sz w:val="14"/>
          <w:szCs w:val="14"/>
        </w:rPr>
        <w:t>Transforaminal</w:t>
      </w:r>
      <w:proofErr w:type="spellEnd"/>
      <w:r w:rsidRPr="005115BF">
        <w:rPr>
          <w:rStyle w:val="markedcontent"/>
          <w:rFonts w:ascii="Arial" w:hAnsi="Arial" w:cs="Arial"/>
          <w:sz w:val="14"/>
          <w:szCs w:val="14"/>
        </w:rPr>
        <w:t xml:space="preserve"> injection with autologous PRP helps patients relieve chronic pains and be able return to work. Besides, autologous PRP can be considered as a good alternative to epidural steroids in management of lumbar disc herniation.</w:t>
      </w:r>
    </w:p>
    <w:p w:rsidR="000428BF" w:rsidRPr="005115BF" w:rsidRDefault="000428BF" w:rsidP="000428BF">
      <w:pPr>
        <w:spacing w:after="0" w:line="360" w:lineRule="auto"/>
        <w:contextualSpacing/>
        <w:jc w:val="both"/>
        <w:rPr>
          <w:rStyle w:val="markedcontent"/>
          <w:rFonts w:ascii="Arial" w:hAnsi="Arial" w:cs="Arial"/>
          <w:b/>
          <w:color w:val="C45911" w:themeColor="accent2" w:themeShade="BF"/>
          <w:sz w:val="20"/>
          <w:szCs w:val="20"/>
        </w:rPr>
      </w:pPr>
      <w:r w:rsidRPr="005115BF">
        <w:rPr>
          <w:rStyle w:val="markedcontent"/>
          <w:rFonts w:ascii="Arial" w:hAnsi="Arial" w:cs="Arial"/>
          <w:b/>
          <w:color w:val="C45911" w:themeColor="accent2" w:themeShade="BF"/>
          <w:sz w:val="20"/>
          <w:szCs w:val="20"/>
        </w:rPr>
        <w:t>Image</w:t>
      </w:r>
    </w:p>
    <w:p w:rsidR="000428BF" w:rsidRPr="001A0437" w:rsidRDefault="000428BF" w:rsidP="000428BF">
      <w:pPr>
        <w:spacing w:after="0" w:line="360" w:lineRule="auto"/>
        <w:contextualSpacing/>
        <w:jc w:val="both"/>
        <w:rPr>
          <w:rStyle w:val="markedcontent"/>
          <w:rFonts w:ascii="Arial" w:hAnsi="Arial" w:cs="Arial"/>
          <w:sz w:val="18"/>
          <w:szCs w:val="18"/>
        </w:rPr>
      </w:pPr>
      <w:r w:rsidRPr="001A0437">
        <w:rPr>
          <w:rFonts w:ascii="Arial" w:hAnsi="Arial" w:cs="Arial"/>
          <w:noProof/>
          <w:sz w:val="18"/>
          <w:szCs w:val="18"/>
        </w:rPr>
        <w:drawing>
          <wp:inline distT="0" distB="0" distL="0" distR="0">
            <wp:extent cx="844052" cy="1123950"/>
            <wp:effectExtent l="0" t="0" r="0" b="0"/>
            <wp:docPr id="2" name="Picture 2"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3041" cy="1215817"/>
                    </a:xfrm>
                    <a:prstGeom prst="rect">
                      <a:avLst/>
                    </a:prstGeom>
                    <a:noFill/>
                    <a:ln>
                      <a:noFill/>
                    </a:ln>
                  </pic:spPr>
                </pic:pic>
              </a:graphicData>
            </a:graphic>
          </wp:inline>
        </w:drawing>
      </w:r>
    </w:p>
    <w:p w:rsidR="000428BF" w:rsidRPr="005115BF" w:rsidRDefault="000428BF" w:rsidP="000428BF">
      <w:pPr>
        <w:spacing w:after="0" w:line="360" w:lineRule="auto"/>
        <w:contextualSpacing/>
        <w:jc w:val="both"/>
        <w:rPr>
          <w:rStyle w:val="markedcontent"/>
          <w:rFonts w:ascii="Arial" w:hAnsi="Arial" w:cs="Arial"/>
          <w:sz w:val="14"/>
          <w:szCs w:val="14"/>
        </w:rPr>
      </w:pPr>
      <w:r w:rsidRPr="005115BF">
        <w:rPr>
          <w:rStyle w:val="label"/>
          <w:rFonts w:ascii="Arial" w:hAnsi="Arial" w:cs="Arial"/>
          <w:sz w:val="14"/>
          <w:szCs w:val="14"/>
        </w:rPr>
        <w:t>Fig. 1</w:t>
      </w:r>
      <w:r w:rsidRPr="005115BF">
        <w:rPr>
          <w:rStyle w:val="captions"/>
          <w:rFonts w:ascii="Arial" w:hAnsi="Arial" w:cs="Arial"/>
          <w:sz w:val="14"/>
          <w:szCs w:val="14"/>
        </w:rPr>
        <w:t>. Autologous Platelet-Rich Plasma (Yellow arrow points out the layer of PRP).</w:t>
      </w:r>
    </w:p>
    <w:p w:rsidR="00307CFA" w:rsidRPr="001A0437" w:rsidRDefault="000428BF" w:rsidP="000428BF">
      <w:pPr>
        <w:rPr>
          <w:rFonts w:ascii="Arial" w:hAnsi="Arial" w:cs="Arial"/>
          <w:sz w:val="18"/>
          <w:szCs w:val="18"/>
        </w:rPr>
      </w:pPr>
      <w:bookmarkStart w:id="0" w:name="_GoBack"/>
      <w:r w:rsidRPr="001A0437">
        <w:rPr>
          <w:rFonts w:ascii="Arial" w:hAnsi="Arial" w:cs="Arial"/>
          <w:noProof/>
          <w:sz w:val="18"/>
          <w:szCs w:val="18"/>
        </w:rPr>
        <w:lastRenderedPageBreak/>
        <w:drawing>
          <wp:inline distT="0" distB="0" distL="0" distR="0">
            <wp:extent cx="2216528" cy="1352550"/>
            <wp:effectExtent l="0" t="0" r="0" b="0"/>
            <wp:docPr id="1" name="Picture 1"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4197" cy="1399945"/>
                    </a:xfrm>
                    <a:prstGeom prst="rect">
                      <a:avLst/>
                    </a:prstGeom>
                    <a:noFill/>
                    <a:ln>
                      <a:noFill/>
                    </a:ln>
                  </pic:spPr>
                </pic:pic>
              </a:graphicData>
            </a:graphic>
          </wp:inline>
        </w:drawing>
      </w:r>
      <w:bookmarkEnd w:id="0"/>
    </w:p>
    <w:p w:rsidR="000428BF" w:rsidRPr="005115BF" w:rsidRDefault="000428BF" w:rsidP="000428BF">
      <w:pPr>
        <w:rPr>
          <w:rFonts w:ascii="Arial" w:hAnsi="Arial" w:cs="Arial"/>
          <w:sz w:val="14"/>
          <w:szCs w:val="14"/>
        </w:rPr>
      </w:pPr>
      <w:r w:rsidRPr="005115BF">
        <w:rPr>
          <w:rFonts w:ascii="Arial" w:hAnsi="Arial" w:cs="Arial"/>
          <w:sz w:val="14"/>
          <w:szCs w:val="14"/>
        </w:rPr>
        <w:t xml:space="preserve">Fig. 2. </w:t>
      </w:r>
      <w:proofErr w:type="spellStart"/>
      <w:r w:rsidRPr="005115BF">
        <w:rPr>
          <w:rFonts w:ascii="Arial" w:hAnsi="Arial" w:cs="Arial"/>
          <w:sz w:val="14"/>
          <w:szCs w:val="14"/>
        </w:rPr>
        <w:t>Transforaminal</w:t>
      </w:r>
      <w:proofErr w:type="spellEnd"/>
      <w:r w:rsidRPr="005115BF">
        <w:rPr>
          <w:rFonts w:ascii="Arial" w:hAnsi="Arial" w:cs="Arial"/>
          <w:sz w:val="14"/>
          <w:szCs w:val="14"/>
        </w:rPr>
        <w:t xml:space="preserve"> epidural injections.</w:t>
      </w:r>
    </w:p>
    <w:p w:rsidR="000428BF" w:rsidRPr="005115BF" w:rsidRDefault="000428BF" w:rsidP="000428BF">
      <w:pPr>
        <w:rPr>
          <w:rFonts w:ascii="Arial" w:hAnsi="Arial" w:cs="Arial"/>
          <w:b/>
          <w:color w:val="C45911" w:themeColor="accent2" w:themeShade="BF"/>
          <w:sz w:val="20"/>
          <w:szCs w:val="20"/>
        </w:rPr>
      </w:pPr>
      <w:r w:rsidRPr="005115BF">
        <w:rPr>
          <w:rFonts w:ascii="Arial" w:hAnsi="Arial" w:cs="Arial"/>
          <w:b/>
          <w:color w:val="C45911" w:themeColor="accent2" w:themeShade="BF"/>
          <w:sz w:val="20"/>
          <w:szCs w:val="20"/>
        </w:rPr>
        <w:t>Recent Publications</w:t>
      </w:r>
    </w:p>
    <w:p w:rsidR="00F278BC" w:rsidRPr="005115BF" w:rsidRDefault="00F278BC" w:rsidP="005115BF">
      <w:pPr>
        <w:pStyle w:val="EndNoteBibliography"/>
        <w:spacing w:line="360" w:lineRule="auto"/>
        <w:rPr>
          <w:rFonts w:eastAsia="Times New Roman"/>
          <w:bCs/>
          <w:noProof w:val="0"/>
          <w:sz w:val="14"/>
          <w:szCs w:val="14"/>
        </w:rPr>
      </w:pPr>
      <w:r w:rsidRPr="005115BF">
        <w:rPr>
          <w:rFonts w:eastAsia="Times New Roman"/>
          <w:bCs/>
          <w:noProof w:val="0"/>
          <w:sz w:val="14"/>
          <w:szCs w:val="14"/>
        </w:rPr>
        <w:t xml:space="preserve">1. </w:t>
      </w:r>
      <w:r w:rsidRPr="005115BF">
        <w:rPr>
          <w:rFonts w:eastAsia="Times New Roman"/>
          <w:bCs/>
          <w:noProof w:val="0"/>
          <w:sz w:val="14"/>
          <w:szCs w:val="14"/>
        </w:rPr>
        <w:t xml:space="preserve">Ruiz-Lopez R, Tsai YC. A Randomized Double-Blind Controlled Pilot Study Comparing Leucocyte-Rich Platelet-Rich Plasma and Corticosteroid in Caudal Epidural Injection for Complex Chronic Degenerative Spinal Pain. Pain </w:t>
      </w:r>
      <w:proofErr w:type="gramStart"/>
      <w:r w:rsidRPr="005115BF">
        <w:rPr>
          <w:rFonts w:eastAsia="Times New Roman"/>
          <w:bCs/>
          <w:noProof w:val="0"/>
          <w:sz w:val="14"/>
          <w:szCs w:val="14"/>
        </w:rPr>
        <w:t>practice :</w:t>
      </w:r>
      <w:proofErr w:type="gramEnd"/>
      <w:r w:rsidRPr="005115BF">
        <w:rPr>
          <w:rFonts w:eastAsia="Times New Roman"/>
          <w:bCs/>
          <w:noProof w:val="0"/>
          <w:sz w:val="14"/>
          <w:szCs w:val="14"/>
        </w:rPr>
        <w:t xml:space="preserve"> the official journal of World Institute of Pain. 2020</w:t>
      </w:r>
      <w:proofErr w:type="gramStart"/>
      <w:r w:rsidRPr="005115BF">
        <w:rPr>
          <w:rFonts w:eastAsia="Times New Roman"/>
          <w:bCs/>
          <w:noProof w:val="0"/>
          <w:sz w:val="14"/>
          <w:szCs w:val="14"/>
        </w:rPr>
        <w:t>;20</w:t>
      </w:r>
      <w:proofErr w:type="gramEnd"/>
      <w:r w:rsidRPr="005115BF">
        <w:rPr>
          <w:rFonts w:eastAsia="Times New Roman"/>
          <w:bCs/>
          <w:noProof w:val="0"/>
          <w:sz w:val="14"/>
          <w:szCs w:val="14"/>
        </w:rPr>
        <w:t>(6):639-646.</w:t>
      </w:r>
    </w:p>
    <w:p w:rsidR="00F278BC" w:rsidRPr="005115BF" w:rsidRDefault="00F278BC" w:rsidP="005115BF">
      <w:pPr>
        <w:pStyle w:val="EndNoteBibliography"/>
        <w:spacing w:line="360" w:lineRule="auto"/>
        <w:rPr>
          <w:rFonts w:eastAsia="Times New Roman"/>
          <w:bCs/>
          <w:noProof w:val="0"/>
          <w:sz w:val="14"/>
          <w:szCs w:val="14"/>
        </w:rPr>
      </w:pPr>
      <w:r w:rsidRPr="005115BF">
        <w:rPr>
          <w:rFonts w:eastAsia="Times New Roman"/>
          <w:bCs/>
          <w:noProof w:val="0"/>
          <w:sz w:val="14"/>
          <w:szCs w:val="14"/>
        </w:rPr>
        <w:t xml:space="preserve">2. </w:t>
      </w:r>
      <w:proofErr w:type="spellStart"/>
      <w:r w:rsidRPr="005115BF">
        <w:rPr>
          <w:rFonts w:eastAsia="Times New Roman"/>
          <w:bCs/>
          <w:noProof w:val="0"/>
          <w:sz w:val="14"/>
          <w:szCs w:val="14"/>
        </w:rPr>
        <w:t>Bise</w:t>
      </w:r>
      <w:proofErr w:type="spellEnd"/>
      <w:r w:rsidRPr="005115BF">
        <w:rPr>
          <w:rFonts w:eastAsia="Times New Roman"/>
          <w:bCs/>
          <w:noProof w:val="0"/>
          <w:sz w:val="14"/>
          <w:szCs w:val="14"/>
        </w:rPr>
        <w:t xml:space="preserve"> S, </w:t>
      </w:r>
      <w:proofErr w:type="spellStart"/>
      <w:r w:rsidRPr="005115BF">
        <w:rPr>
          <w:rFonts w:eastAsia="Times New Roman"/>
          <w:bCs/>
          <w:noProof w:val="0"/>
          <w:sz w:val="14"/>
          <w:szCs w:val="14"/>
        </w:rPr>
        <w:t>Dallaudiere</w:t>
      </w:r>
      <w:proofErr w:type="spellEnd"/>
      <w:r w:rsidRPr="005115BF">
        <w:rPr>
          <w:rFonts w:eastAsia="Times New Roman"/>
          <w:bCs/>
          <w:noProof w:val="0"/>
          <w:sz w:val="14"/>
          <w:szCs w:val="14"/>
        </w:rPr>
        <w:t xml:space="preserve"> B, </w:t>
      </w:r>
      <w:proofErr w:type="spellStart"/>
      <w:r w:rsidRPr="005115BF">
        <w:rPr>
          <w:rFonts w:eastAsia="Times New Roman"/>
          <w:bCs/>
          <w:noProof w:val="0"/>
          <w:sz w:val="14"/>
          <w:szCs w:val="14"/>
        </w:rPr>
        <w:t>Pesquer</w:t>
      </w:r>
      <w:proofErr w:type="spellEnd"/>
      <w:r w:rsidRPr="005115BF">
        <w:rPr>
          <w:rFonts w:eastAsia="Times New Roman"/>
          <w:bCs/>
          <w:noProof w:val="0"/>
          <w:sz w:val="14"/>
          <w:szCs w:val="14"/>
        </w:rPr>
        <w:t xml:space="preserve"> L, et al. Comparison of </w:t>
      </w:r>
      <w:proofErr w:type="spellStart"/>
      <w:r w:rsidRPr="005115BF">
        <w:rPr>
          <w:rFonts w:eastAsia="Times New Roman"/>
          <w:bCs/>
          <w:noProof w:val="0"/>
          <w:sz w:val="14"/>
          <w:szCs w:val="14"/>
        </w:rPr>
        <w:t>interlaminar</w:t>
      </w:r>
      <w:proofErr w:type="spellEnd"/>
      <w:r w:rsidRPr="005115BF">
        <w:rPr>
          <w:rFonts w:eastAsia="Times New Roman"/>
          <w:bCs/>
          <w:noProof w:val="0"/>
          <w:sz w:val="14"/>
          <w:szCs w:val="14"/>
        </w:rPr>
        <w:t xml:space="preserve"> CT-guided epidural platelet-rich plasma versus steroid injection in patients with lumbar radicular pain. European Radiology. 2020</w:t>
      </w:r>
      <w:proofErr w:type="gramStart"/>
      <w:r w:rsidRPr="005115BF">
        <w:rPr>
          <w:rFonts w:eastAsia="Times New Roman"/>
          <w:bCs/>
          <w:noProof w:val="0"/>
          <w:sz w:val="14"/>
          <w:szCs w:val="14"/>
        </w:rPr>
        <w:t>;30</w:t>
      </w:r>
      <w:proofErr w:type="gramEnd"/>
      <w:r w:rsidRPr="005115BF">
        <w:rPr>
          <w:rFonts w:eastAsia="Times New Roman"/>
          <w:bCs/>
          <w:noProof w:val="0"/>
          <w:sz w:val="14"/>
          <w:szCs w:val="14"/>
        </w:rPr>
        <w:t>(6):3152-3160.</w:t>
      </w:r>
    </w:p>
    <w:p w:rsidR="00F278BC" w:rsidRPr="005115BF" w:rsidRDefault="00F278BC" w:rsidP="005115BF">
      <w:pPr>
        <w:pStyle w:val="EndNoteBibliography"/>
        <w:spacing w:line="360" w:lineRule="auto"/>
        <w:rPr>
          <w:rFonts w:eastAsia="Times New Roman"/>
          <w:bCs/>
          <w:noProof w:val="0"/>
          <w:sz w:val="14"/>
          <w:szCs w:val="14"/>
        </w:rPr>
      </w:pPr>
      <w:r w:rsidRPr="005115BF">
        <w:rPr>
          <w:rFonts w:eastAsia="Times New Roman"/>
          <w:bCs/>
          <w:noProof w:val="0"/>
          <w:sz w:val="14"/>
          <w:szCs w:val="14"/>
        </w:rPr>
        <w:t xml:space="preserve">3. </w:t>
      </w:r>
      <w:proofErr w:type="spellStart"/>
      <w:r w:rsidRPr="005115BF">
        <w:rPr>
          <w:rFonts w:eastAsia="Times New Roman"/>
          <w:bCs/>
          <w:noProof w:val="0"/>
          <w:sz w:val="14"/>
          <w:szCs w:val="14"/>
        </w:rPr>
        <w:t>Xu</w:t>
      </w:r>
      <w:proofErr w:type="spellEnd"/>
      <w:r w:rsidRPr="005115BF">
        <w:rPr>
          <w:rFonts w:eastAsia="Times New Roman"/>
          <w:bCs/>
          <w:noProof w:val="0"/>
          <w:sz w:val="14"/>
          <w:szCs w:val="14"/>
        </w:rPr>
        <w:t xml:space="preserve"> Z, Wu S, Li X, Liu C, Fan S, Ma C. Ultrasound-Guided </w:t>
      </w:r>
      <w:proofErr w:type="spellStart"/>
      <w:r w:rsidRPr="005115BF">
        <w:rPr>
          <w:rFonts w:eastAsia="Times New Roman"/>
          <w:bCs/>
          <w:noProof w:val="0"/>
          <w:sz w:val="14"/>
          <w:szCs w:val="14"/>
        </w:rPr>
        <w:t>Transforaminal</w:t>
      </w:r>
      <w:proofErr w:type="spellEnd"/>
      <w:r w:rsidRPr="005115BF">
        <w:rPr>
          <w:rFonts w:eastAsia="Times New Roman"/>
          <w:bCs/>
          <w:noProof w:val="0"/>
          <w:sz w:val="14"/>
          <w:szCs w:val="14"/>
        </w:rPr>
        <w:t xml:space="preserve"> Injections of Platelet-Rich Plasma Compared with Steroid in Lumbar Disc Herniation: A Prospective, Randomized, Controlled Study. Neural Plasticity. 2021</w:t>
      </w:r>
      <w:proofErr w:type="gramStart"/>
      <w:r w:rsidRPr="005115BF">
        <w:rPr>
          <w:rFonts w:eastAsia="Times New Roman"/>
          <w:bCs/>
          <w:noProof w:val="0"/>
          <w:sz w:val="14"/>
          <w:szCs w:val="14"/>
        </w:rPr>
        <w:t>;2021:5558138</w:t>
      </w:r>
      <w:proofErr w:type="gramEnd"/>
      <w:r w:rsidRPr="005115BF">
        <w:rPr>
          <w:rFonts w:eastAsia="Times New Roman"/>
          <w:bCs/>
          <w:noProof w:val="0"/>
          <w:sz w:val="14"/>
          <w:szCs w:val="14"/>
        </w:rPr>
        <w:t>.</w:t>
      </w:r>
    </w:p>
    <w:p w:rsidR="00F278BC" w:rsidRPr="005115BF" w:rsidRDefault="00F278BC" w:rsidP="005115BF">
      <w:pPr>
        <w:pStyle w:val="EndNoteBibliography"/>
        <w:spacing w:line="360" w:lineRule="auto"/>
        <w:rPr>
          <w:rFonts w:eastAsia="Times New Roman"/>
          <w:bCs/>
          <w:noProof w:val="0"/>
          <w:sz w:val="14"/>
          <w:szCs w:val="14"/>
        </w:rPr>
      </w:pPr>
      <w:r w:rsidRPr="005115BF">
        <w:rPr>
          <w:rFonts w:eastAsia="Times New Roman"/>
          <w:bCs/>
          <w:noProof w:val="0"/>
          <w:sz w:val="14"/>
          <w:szCs w:val="14"/>
        </w:rPr>
        <w:t xml:space="preserve">4. </w:t>
      </w:r>
      <w:r w:rsidRPr="005115BF">
        <w:rPr>
          <w:rFonts w:eastAsia="Times New Roman"/>
          <w:bCs/>
          <w:noProof w:val="0"/>
          <w:sz w:val="14"/>
          <w:szCs w:val="14"/>
        </w:rPr>
        <w:t xml:space="preserve">Centeno C, </w:t>
      </w:r>
      <w:proofErr w:type="spellStart"/>
      <w:r w:rsidRPr="005115BF">
        <w:rPr>
          <w:rFonts w:eastAsia="Times New Roman"/>
          <w:bCs/>
          <w:noProof w:val="0"/>
          <w:sz w:val="14"/>
          <w:szCs w:val="14"/>
        </w:rPr>
        <w:t>Markle</w:t>
      </w:r>
      <w:proofErr w:type="spellEnd"/>
      <w:r w:rsidRPr="005115BF">
        <w:rPr>
          <w:rFonts w:eastAsia="Times New Roman"/>
          <w:bCs/>
          <w:noProof w:val="0"/>
          <w:sz w:val="14"/>
          <w:szCs w:val="14"/>
        </w:rPr>
        <w:t xml:space="preserve"> J, Dodson E, et al. The use of lumbar epidural injection of platelet lysate for treatment of radicular pain. J </w:t>
      </w:r>
      <w:proofErr w:type="spellStart"/>
      <w:r w:rsidRPr="005115BF">
        <w:rPr>
          <w:rFonts w:eastAsia="Times New Roman"/>
          <w:bCs/>
          <w:noProof w:val="0"/>
          <w:sz w:val="14"/>
          <w:szCs w:val="14"/>
        </w:rPr>
        <w:t>Exp</w:t>
      </w:r>
      <w:proofErr w:type="spellEnd"/>
      <w:r w:rsidRPr="005115BF">
        <w:rPr>
          <w:rFonts w:eastAsia="Times New Roman"/>
          <w:bCs/>
          <w:noProof w:val="0"/>
          <w:sz w:val="14"/>
          <w:szCs w:val="14"/>
        </w:rPr>
        <w:t xml:space="preserve"> </w:t>
      </w:r>
      <w:proofErr w:type="spellStart"/>
      <w:r w:rsidRPr="005115BF">
        <w:rPr>
          <w:rFonts w:eastAsia="Times New Roman"/>
          <w:bCs/>
          <w:noProof w:val="0"/>
          <w:sz w:val="14"/>
          <w:szCs w:val="14"/>
        </w:rPr>
        <w:t>Orthop</w:t>
      </w:r>
      <w:proofErr w:type="spellEnd"/>
      <w:r w:rsidRPr="005115BF">
        <w:rPr>
          <w:rFonts w:eastAsia="Times New Roman"/>
          <w:bCs/>
          <w:noProof w:val="0"/>
          <w:sz w:val="14"/>
          <w:szCs w:val="14"/>
        </w:rPr>
        <w:t>. 2017</w:t>
      </w:r>
      <w:proofErr w:type="gramStart"/>
      <w:r w:rsidRPr="005115BF">
        <w:rPr>
          <w:rFonts w:eastAsia="Times New Roman"/>
          <w:bCs/>
          <w:noProof w:val="0"/>
          <w:sz w:val="14"/>
          <w:szCs w:val="14"/>
        </w:rPr>
        <w:t>;4</w:t>
      </w:r>
      <w:proofErr w:type="gramEnd"/>
      <w:r w:rsidRPr="005115BF">
        <w:rPr>
          <w:rFonts w:eastAsia="Times New Roman"/>
          <w:bCs/>
          <w:noProof w:val="0"/>
          <w:sz w:val="14"/>
          <w:szCs w:val="14"/>
        </w:rPr>
        <w:t>(1):38-38.</w:t>
      </w:r>
    </w:p>
    <w:p w:rsidR="00F278BC" w:rsidRPr="005115BF" w:rsidRDefault="00F278BC" w:rsidP="005115BF">
      <w:pPr>
        <w:pStyle w:val="EndNoteBibliography"/>
        <w:spacing w:line="360" w:lineRule="auto"/>
        <w:rPr>
          <w:rFonts w:eastAsia="Times New Roman"/>
          <w:bCs/>
          <w:noProof w:val="0"/>
          <w:sz w:val="14"/>
          <w:szCs w:val="14"/>
        </w:rPr>
      </w:pPr>
      <w:r w:rsidRPr="005115BF">
        <w:rPr>
          <w:rFonts w:eastAsia="Times New Roman"/>
          <w:bCs/>
          <w:noProof w:val="0"/>
          <w:sz w:val="14"/>
          <w:szCs w:val="14"/>
        </w:rPr>
        <w:t xml:space="preserve">5. </w:t>
      </w:r>
      <w:proofErr w:type="spellStart"/>
      <w:r w:rsidRPr="005115BF">
        <w:rPr>
          <w:rFonts w:eastAsia="Times New Roman"/>
          <w:bCs/>
          <w:noProof w:val="0"/>
          <w:sz w:val="14"/>
          <w:szCs w:val="14"/>
        </w:rPr>
        <w:t>Ashkan</w:t>
      </w:r>
      <w:proofErr w:type="spellEnd"/>
      <w:r w:rsidRPr="005115BF">
        <w:rPr>
          <w:rFonts w:eastAsia="Times New Roman"/>
          <w:bCs/>
          <w:noProof w:val="0"/>
          <w:sz w:val="14"/>
          <w:szCs w:val="14"/>
        </w:rPr>
        <w:t xml:space="preserve"> K, Jung J, </w:t>
      </w:r>
      <w:proofErr w:type="spellStart"/>
      <w:r w:rsidRPr="005115BF">
        <w:rPr>
          <w:rFonts w:eastAsia="Times New Roman"/>
          <w:bCs/>
          <w:noProof w:val="0"/>
          <w:sz w:val="14"/>
          <w:szCs w:val="14"/>
        </w:rPr>
        <w:t>Velicu</w:t>
      </w:r>
      <w:proofErr w:type="spellEnd"/>
      <w:r w:rsidRPr="005115BF">
        <w:rPr>
          <w:rFonts w:eastAsia="Times New Roman"/>
          <w:bCs/>
          <w:noProof w:val="0"/>
          <w:sz w:val="14"/>
          <w:szCs w:val="14"/>
        </w:rPr>
        <w:t xml:space="preserve"> AM, et al. Neurosurgery and coronavirus: impact and challenges—lessons learnt from the first wave of a global pandemic. </w:t>
      </w:r>
      <w:proofErr w:type="spellStart"/>
      <w:r w:rsidRPr="005115BF">
        <w:rPr>
          <w:rFonts w:eastAsia="Times New Roman"/>
          <w:bCs/>
          <w:noProof w:val="0"/>
          <w:sz w:val="14"/>
          <w:szCs w:val="14"/>
        </w:rPr>
        <w:t>Acta</w:t>
      </w:r>
      <w:proofErr w:type="spellEnd"/>
      <w:r w:rsidRPr="005115BF">
        <w:rPr>
          <w:rFonts w:eastAsia="Times New Roman"/>
          <w:bCs/>
          <w:noProof w:val="0"/>
          <w:sz w:val="14"/>
          <w:szCs w:val="14"/>
        </w:rPr>
        <w:t xml:space="preserve"> </w:t>
      </w:r>
      <w:proofErr w:type="spellStart"/>
      <w:r w:rsidRPr="005115BF">
        <w:rPr>
          <w:rFonts w:eastAsia="Times New Roman"/>
          <w:bCs/>
          <w:noProof w:val="0"/>
          <w:sz w:val="14"/>
          <w:szCs w:val="14"/>
        </w:rPr>
        <w:t>Neurochir</w:t>
      </w:r>
      <w:proofErr w:type="spellEnd"/>
      <w:r w:rsidRPr="005115BF">
        <w:rPr>
          <w:rFonts w:eastAsia="Times New Roman"/>
          <w:bCs/>
          <w:noProof w:val="0"/>
          <w:sz w:val="14"/>
          <w:szCs w:val="14"/>
        </w:rPr>
        <w:t xml:space="preserve"> (Wien). 2021</w:t>
      </w:r>
      <w:proofErr w:type="gramStart"/>
      <w:r w:rsidRPr="005115BF">
        <w:rPr>
          <w:rFonts w:eastAsia="Times New Roman"/>
          <w:bCs/>
          <w:noProof w:val="0"/>
          <w:sz w:val="14"/>
          <w:szCs w:val="14"/>
        </w:rPr>
        <w:t>;163</w:t>
      </w:r>
      <w:proofErr w:type="gramEnd"/>
      <w:r w:rsidRPr="005115BF">
        <w:rPr>
          <w:rFonts w:eastAsia="Times New Roman"/>
          <w:bCs/>
          <w:noProof w:val="0"/>
          <w:sz w:val="14"/>
          <w:szCs w:val="14"/>
        </w:rPr>
        <w:t>(2):317-329.</w:t>
      </w:r>
    </w:p>
    <w:p w:rsidR="001A0437" w:rsidRPr="005115BF" w:rsidRDefault="001A0437" w:rsidP="000428BF">
      <w:pPr>
        <w:rPr>
          <w:rFonts w:ascii="Arial" w:eastAsia="Times New Roman" w:hAnsi="Arial" w:cs="Arial"/>
          <w:b/>
          <w:bCs/>
          <w:sz w:val="14"/>
          <w:szCs w:val="14"/>
        </w:rPr>
        <w:sectPr w:rsidR="001A0437" w:rsidRPr="005115BF" w:rsidSect="001A0437">
          <w:type w:val="continuous"/>
          <w:pgSz w:w="12240" w:h="15840"/>
          <w:pgMar w:top="1440" w:right="1440" w:bottom="1440" w:left="1440" w:header="720" w:footer="720" w:gutter="0"/>
          <w:cols w:num="2" w:space="720"/>
          <w:docGrid w:linePitch="360"/>
        </w:sectPr>
      </w:pPr>
    </w:p>
    <w:p w:rsidR="001A0437" w:rsidRDefault="001A0437" w:rsidP="000428BF">
      <w:pPr>
        <w:rPr>
          <w:rFonts w:ascii="Arial" w:eastAsia="Times New Roman" w:hAnsi="Arial" w:cs="Arial"/>
          <w:b/>
          <w:bCs/>
          <w:sz w:val="14"/>
          <w:szCs w:val="14"/>
        </w:rPr>
      </w:pPr>
      <w:r>
        <w:rPr>
          <w:rFonts w:ascii="Arial" w:eastAsia="Times New Roman" w:hAnsi="Arial" w:cs="Arial"/>
          <w:b/>
          <w:bCs/>
          <w:noProof/>
          <w:sz w:val="14"/>
          <w:szCs w:val="14"/>
        </w:rPr>
        <w:lastRenderedPageBreak/>
        <mc:AlternateContent>
          <mc:Choice Requires="wps">
            <w:drawing>
              <wp:anchor distT="0" distB="0" distL="114300" distR="114300" simplePos="0" relativeHeight="251659264" behindDoc="0" locked="0" layoutInCell="1" allowOverlap="1">
                <wp:simplePos x="0" y="0"/>
                <wp:positionH relativeFrom="column">
                  <wp:posOffset>2044700</wp:posOffset>
                </wp:positionH>
                <wp:positionV relativeFrom="paragraph">
                  <wp:posOffset>107950</wp:posOffset>
                </wp:positionV>
                <wp:extent cx="2324100" cy="12700"/>
                <wp:effectExtent l="0" t="0" r="19050" b="25400"/>
                <wp:wrapNone/>
                <wp:docPr id="4" name="Straight Connector 4"/>
                <wp:cNvGraphicFramePr/>
                <a:graphic xmlns:a="http://schemas.openxmlformats.org/drawingml/2006/main">
                  <a:graphicData uri="http://schemas.microsoft.com/office/word/2010/wordprocessingShape">
                    <wps:wsp>
                      <wps:cNvCnPr/>
                      <wps:spPr>
                        <a:xfrm flipV="1">
                          <a:off x="0" y="0"/>
                          <a:ext cx="23241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CD8077" id="Straight Connector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61pt,8.5pt" to="34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" strokecolor="#5b9bd5 [3204]" strokeweight=".5pt">
                <v:stroke joinstyle="miter"/>
              </v:line>
            </w:pict>
          </mc:Fallback>
        </mc:AlternateContent>
      </w:r>
    </w:p>
    <w:p w:rsidR="00F278BC" w:rsidRPr="005115BF" w:rsidRDefault="00F278BC" w:rsidP="000428BF">
      <w:pPr>
        <w:rPr>
          <w:rFonts w:ascii="Arial" w:eastAsia="Times New Roman" w:hAnsi="Arial" w:cs="Arial"/>
          <w:b/>
          <w:bCs/>
          <w:color w:val="C45911" w:themeColor="accent2" w:themeShade="BF"/>
          <w:sz w:val="20"/>
          <w:szCs w:val="20"/>
        </w:rPr>
      </w:pPr>
      <w:r w:rsidRPr="005115BF">
        <w:rPr>
          <w:rFonts w:ascii="Arial" w:eastAsia="Times New Roman" w:hAnsi="Arial" w:cs="Arial"/>
          <w:b/>
          <w:bCs/>
          <w:color w:val="C45911" w:themeColor="accent2" w:themeShade="BF"/>
          <w:sz w:val="20"/>
          <w:szCs w:val="20"/>
        </w:rPr>
        <w:t>Photograph</w:t>
      </w:r>
    </w:p>
    <w:p w:rsidR="005115BF" w:rsidRDefault="005115BF" w:rsidP="000428BF">
      <w:pPr>
        <w:rPr>
          <w:rFonts w:ascii="Arial" w:hAnsi="Arial" w:cs="Arial"/>
          <w:sz w:val="14"/>
          <w:szCs w:val="14"/>
        </w:rPr>
        <w:sectPr w:rsidR="005115BF" w:rsidSect="001A0437">
          <w:type w:val="continuous"/>
          <w:pgSz w:w="12240" w:h="15840"/>
          <w:pgMar w:top="1440" w:right="1440" w:bottom="1440" w:left="1440" w:header="720" w:footer="720" w:gutter="0"/>
          <w:cols w:space="720"/>
          <w:docGrid w:linePitch="360"/>
        </w:sectPr>
      </w:pPr>
    </w:p>
    <w:p w:rsidR="00F278BC" w:rsidRPr="005115BF" w:rsidRDefault="00F278BC" w:rsidP="000428BF">
      <w:pPr>
        <w:rPr>
          <w:rFonts w:ascii="Arial" w:hAnsi="Arial" w:cs="Arial"/>
          <w:sz w:val="14"/>
          <w:szCs w:val="14"/>
        </w:rPr>
      </w:pPr>
      <w:r w:rsidRPr="001A0437">
        <w:rPr>
          <w:rFonts w:ascii="Arial" w:hAnsi="Arial" w:cs="Arial"/>
          <w:noProof/>
          <w:sz w:val="14"/>
          <w:szCs w:val="14"/>
        </w:rPr>
        <w:lastRenderedPageBreak/>
        <w:drawing>
          <wp:inline distT="0" distB="0" distL="0" distR="0">
            <wp:extent cx="882650" cy="1140202"/>
            <wp:effectExtent l="0" t="0" r="0" b="3175"/>
            <wp:docPr id="3" name="Picture 3" descr="C:\Users\ThangLe\Dropbox\My PC (ux305)\Downloads\image_648732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angLe\Dropbox\My PC (ux305)\Downloads\image_6487327(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1583" cy="1190496"/>
                    </a:xfrm>
                    <a:prstGeom prst="rect">
                      <a:avLst/>
                    </a:prstGeom>
                    <a:noFill/>
                    <a:ln>
                      <a:noFill/>
                    </a:ln>
                  </pic:spPr>
                </pic:pic>
              </a:graphicData>
            </a:graphic>
          </wp:inline>
        </w:drawing>
      </w:r>
      <w:r w:rsidRPr="005115BF">
        <w:rPr>
          <w:rFonts w:ascii="Arial" w:hAnsi="Arial" w:cs="Arial"/>
          <w:b/>
          <w:color w:val="C45911" w:themeColor="accent2" w:themeShade="BF"/>
          <w:sz w:val="20"/>
          <w:szCs w:val="20"/>
        </w:rPr>
        <w:t>Biography</w:t>
      </w:r>
    </w:p>
    <w:p w:rsidR="00F278BC" w:rsidRDefault="00F278BC" w:rsidP="005115BF">
      <w:pPr>
        <w:spacing w:line="360" w:lineRule="auto"/>
        <w:jc w:val="both"/>
        <w:rPr>
          <w:rFonts w:ascii="Arial" w:hAnsi="Arial" w:cs="Arial"/>
          <w:sz w:val="14"/>
          <w:szCs w:val="14"/>
        </w:rPr>
      </w:pPr>
      <w:proofErr w:type="spellStart"/>
      <w:r w:rsidRPr="001A0437">
        <w:rPr>
          <w:rFonts w:ascii="Arial" w:hAnsi="Arial" w:cs="Arial"/>
          <w:sz w:val="14"/>
          <w:szCs w:val="14"/>
        </w:rPr>
        <w:lastRenderedPageBreak/>
        <w:t>Dr</w:t>
      </w:r>
      <w:proofErr w:type="spellEnd"/>
      <w:r w:rsidRPr="001A0437">
        <w:rPr>
          <w:rFonts w:ascii="Arial" w:hAnsi="Arial" w:cs="Arial"/>
          <w:sz w:val="14"/>
          <w:szCs w:val="14"/>
        </w:rPr>
        <w:t xml:space="preserve"> Viet-</w:t>
      </w:r>
      <w:proofErr w:type="spellStart"/>
      <w:r w:rsidRPr="001A0437">
        <w:rPr>
          <w:rFonts w:ascii="Arial" w:hAnsi="Arial" w:cs="Arial"/>
          <w:sz w:val="14"/>
          <w:szCs w:val="14"/>
        </w:rPr>
        <w:t>Thang</w:t>
      </w:r>
      <w:proofErr w:type="spellEnd"/>
      <w:r w:rsidRPr="001A0437">
        <w:rPr>
          <w:rFonts w:ascii="Arial" w:hAnsi="Arial" w:cs="Arial"/>
          <w:sz w:val="14"/>
          <w:szCs w:val="14"/>
        </w:rPr>
        <w:t xml:space="preserve"> Le </w:t>
      </w:r>
      <w:r w:rsidR="001A0437" w:rsidRPr="001A0437">
        <w:rPr>
          <w:rFonts w:ascii="Arial" w:hAnsi="Arial" w:cs="Arial"/>
          <w:sz w:val="14"/>
          <w:szCs w:val="14"/>
        </w:rPr>
        <w:t xml:space="preserve">am working at department of </w:t>
      </w:r>
      <w:proofErr w:type="spellStart"/>
      <w:r w:rsidR="001A0437" w:rsidRPr="001A0437">
        <w:rPr>
          <w:rFonts w:ascii="Arial" w:hAnsi="Arial" w:cs="Arial"/>
          <w:sz w:val="14"/>
          <w:szCs w:val="14"/>
        </w:rPr>
        <w:t>Neurosugery</w:t>
      </w:r>
      <w:proofErr w:type="spellEnd"/>
      <w:r w:rsidR="001A0437" w:rsidRPr="001A0437">
        <w:rPr>
          <w:rFonts w:ascii="Arial" w:hAnsi="Arial" w:cs="Arial"/>
          <w:sz w:val="14"/>
          <w:szCs w:val="14"/>
        </w:rPr>
        <w:t>, University Medical Center, Ho Chi Minh City, and Faculty of Medicine, University of Medicine and Pharmacy, Ho Chi Minh City, Vietnam. He is passionate about minimally invasive pain management, with nearly 10 years of experience in the field.</w:t>
      </w:r>
    </w:p>
    <w:p w:rsidR="001A0437" w:rsidRPr="001A0437" w:rsidRDefault="001A0437" w:rsidP="005115BF">
      <w:pPr>
        <w:spacing w:line="360" w:lineRule="auto"/>
        <w:jc w:val="center"/>
        <w:rPr>
          <w:rFonts w:ascii="Arial" w:hAnsi="Arial" w:cs="Arial"/>
          <w:sz w:val="14"/>
          <w:szCs w:val="14"/>
        </w:rPr>
      </w:pPr>
      <w:r>
        <w:rPr>
          <w:rFonts w:ascii="Arial" w:hAnsi="Arial" w:cs="Arial"/>
          <w:sz w:val="14"/>
          <w:szCs w:val="14"/>
        </w:rPr>
        <w:t>Email: drlevietthang@ump.edu.vn</w:t>
      </w:r>
    </w:p>
    <w:sectPr w:rsidR="001A0437" w:rsidRPr="001A0437" w:rsidSect="005115BF">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BF"/>
    <w:rsid w:val="000428BF"/>
    <w:rsid w:val="001A0437"/>
    <w:rsid w:val="00307CFA"/>
    <w:rsid w:val="005115BF"/>
    <w:rsid w:val="00DA3352"/>
    <w:rsid w:val="00F2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9BE2A-5459-4224-95D0-EDB451D2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0428BF"/>
  </w:style>
  <w:style w:type="character" w:customStyle="1" w:styleId="captions">
    <w:name w:val="captions"/>
    <w:basedOn w:val="DefaultParagraphFont"/>
    <w:rsid w:val="000428BF"/>
  </w:style>
  <w:style w:type="character" w:customStyle="1" w:styleId="label">
    <w:name w:val="label"/>
    <w:basedOn w:val="DefaultParagraphFont"/>
    <w:rsid w:val="000428BF"/>
  </w:style>
  <w:style w:type="paragraph" w:customStyle="1" w:styleId="EndNoteBibliography">
    <w:name w:val="EndNote Bibliography"/>
    <w:basedOn w:val="Normal"/>
    <w:link w:val="EndNoteBibliographyChar"/>
    <w:rsid w:val="00F278BC"/>
    <w:pPr>
      <w:spacing w:after="0" w:line="240" w:lineRule="auto"/>
      <w:contextualSpacing/>
      <w:jc w:val="both"/>
    </w:pPr>
    <w:rPr>
      <w:rFonts w:ascii="Arial" w:eastAsia="Arial" w:hAnsi="Arial" w:cs="Arial"/>
      <w:noProof/>
    </w:rPr>
  </w:style>
  <w:style w:type="character" w:customStyle="1" w:styleId="EndNoteBibliographyChar">
    <w:name w:val="EndNote Bibliography Char"/>
    <w:basedOn w:val="DefaultParagraphFont"/>
    <w:link w:val="EndNoteBibliography"/>
    <w:rsid w:val="00F278BC"/>
    <w:rPr>
      <w:rFonts w:ascii="Arial" w:eastAsia="Arial" w:hAnsi="Arial" w:cs="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2022-08-07T09:55:00Z</dcterms:created>
  <dcterms:modified xsi:type="dcterms:W3CDTF">2022-08-07T10:37:00Z</dcterms:modified>
</cp:coreProperties>
</file>