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35FE" w14:textId="401BE9DB" w:rsidR="007C48A9" w:rsidRPr="00A61978" w:rsidRDefault="007C48A9" w:rsidP="00A61978">
      <w:pPr>
        <w:autoSpaceDE w:val="0"/>
        <w:autoSpaceDN w:val="0"/>
        <w:adjustRightInd w:val="0"/>
        <w:jc w:val="center"/>
        <w:rPr>
          <w:rFonts w:eastAsiaTheme="minorHAnsi"/>
          <w:sz w:val="30"/>
          <w:szCs w:val="30"/>
          <w:lang w:val="en-GB"/>
        </w:rPr>
      </w:pPr>
      <w:r>
        <w:rPr>
          <w:rFonts w:eastAsiaTheme="minorHAnsi"/>
          <w:sz w:val="30"/>
          <w:szCs w:val="30"/>
          <w:lang w:val="en-GB"/>
        </w:rPr>
        <w:t>Restoration of normal pelvic balance from surgical reduction</w:t>
      </w:r>
      <w:r w:rsidR="00A61978">
        <w:rPr>
          <w:rFonts w:eastAsiaTheme="minorHAnsi"/>
          <w:sz w:val="30"/>
          <w:szCs w:val="30"/>
          <w:lang w:val="en-GB"/>
        </w:rPr>
        <w:t xml:space="preserve"> </w:t>
      </w:r>
      <w:r>
        <w:rPr>
          <w:rFonts w:eastAsiaTheme="minorHAnsi"/>
          <w:sz w:val="30"/>
          <w:szCs w:val="30"/>
          <w:lang w:val="en-GB"/>
        </w:rPr>
        <w:t>In high-grade spondylolisthesis</w:t>
      </w:r>
    </w:p>
    <w:p w14:paraId="69EA5FAF" w14:textId="77777777" w:rsidR="007C48A9" w:rsidRPr="009B303B" w:rsidRDefault="007C48A9" w:rsidP="007C48A9">
      <w:pPr>
        <w:jc w:val="center"/>
      </w:pPr>
      <w:r w:rsidRPr="009B303B">
        <w:rPr>
          <w:b/>
          <w:bCs/>
        </w:rPr>
        <w:t>Name:</w:t>
      </w:r>
      <w:r w:rsidRPr="009B303B">
        <w:t xml:space="preserve"> </w:t>
      </w:r>
      <w:proofErr w:type="spellStart"/>
      <w:r>
        <w:t>Abdulamjeed</w:t>
      </w:r>
      <w:proofErr w:type="spellEnd"/>
      <w:r>
        <w:t xml:space="preserve"> Alzakri</w:t>
      </w:r>
    </w:p>
    <w:p w14:paraId="5F65AB04" w14:textId="77777777" w:rsidR="007C48A9" w:rsidRPr="009B303B" w:rsidRDefault="007C48A9" w:rsidP="007C48A9">
      <w:pPr>
        <w:jc w:val="center"/>
      </w:pPr>
      <w:r w:rsidRPr="009B303B">
        <w:rPr>
          <w:b/>
          <w:bCs/>
        </w:rPr>
        <w:t>Affiliation:</w:t>
      </w:r>
      <w:r w:rsidRPr="009B303B">
        <w:t xml:space="preserve"> Assistant Professor at </w:t>
      </w:r>
      <w:r>
        <w:t>King Saud University</w:t>
      </w:r>
      <w:r w:rsidRPr="009B303B">
        <w:t xml:space="preserve"> </w:t>
      </w:r>
    </w:p>
    <w:p w14:paraId="5A5EAE9D" w14:textId="77777777" w:rsidR="007C48A9" w:rsidRPr="009B303B" w:rsidRDefault="007C48A9" w:rsidP="007C48A9">
      <w:pPr>
        <w:jc w:val="center"/>
      </w:pPr>
      <w:r w:rsidRPr="009B303B">
        <w:rPr>
          <w:b/>
          <w:bCs/>
        </w:rPr>
        <w:t>Country</w:t>
      </w:r>
      <w:r w:rsidRPr="009B303B">
        <w:t xml:space="preserve">: </w:t>
      </w:r>
      <w:r>
        <w:t>Saudi Arabia</w:t>
      </w:r>
    </w:p>
    <w:p w14:paraId="195BF475" w14:textId="204DF630" w:rsidR="00AE3E37" w:rsidRPr="009C1181" w:rsidRDefault="00AE3E37" w:rsidP="009C1181">
      <w:pPr>
        <w:pStyle w:val="BodyText"/>
        <w:spacing w:before="73" w:line="198" w:lineRule="exact"/>
        <w:ind w:right="5987"/>
        <w:rPr>
          <w:rFonts w:ascii="Arial"/>
        </w:rPr>
      </w:pP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658998A" w14:textId="77777777" w:rsidR="007C48A9" w:rsidRDefault="007C48A9" w:rsidP="007C48A9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rPr>
          <w:rFonts w:eastAsiaTheme="minorHAnsi"/>
          <w:sz w:val="19"/>
          <w:szCs w:val="19"/>
          <w:lang w:val="en-GB"/>
        </w:rPr>
        <w:t>Purpose: To investigate the effectiveness of surgical reduction in high-grade spondylolisthesis in maintaining or restoring a normal pelvic balance, as related to the QoL.</w:t>
      </w:r>
    </w:p>
    <w:p w14:paraId="7007292F" w14:textId="77777777" w:rsidR="007C48A9" w:rsidRDefault="007C48A9" w:rsidP="007C48A9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rPr>
          <w:rFonts w:eastAsiaTheme="minorHAnsi"/>
          <w:sz w:val="19"/>
          <w:szCs w:val="19"/>
          <w:lang w:val="en-GB"/>
        </w:rPr>
        <w:t>Methods: It is a retrospective analysis of prospectively collected data of 60 patients (17 males, 43 females) aged 15 ± 3.1 years</w:t>
      </w:r>
    </w:p>
    <w:p w14:paraId="3D6A8DA2" w14:textId="49F9C211" w:rsidR="007C48A9" w:rsidRDefault="007C48A9" w:rsidP="00EB155B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rPr>
          <w:rFonts w:eastAsiaTheme="minorHAnsi"/>
          <w:sz w:val="19"/>
          <w:szCs w:val="19"/>
          <w:lang w:val="en-GB"/>
        </w:rPr>
        <w:t xml:space="preserve">who underwent surgery for high-grade spondylolisthesis and were followed for a minimum of 2 years after </w:t>
      </w:r>
      <w:proofErr w:type="gramStart"/>
      <w:r>
        <w:rPr>
          <w:rFonts w:eastAsiaTheme="minorHAnsi"/>
          <w:sz w:val="19"/>
          <w:szCs w:val="19"/>
          <w:lang w:val="en-GB"/>
        </w:rPr>
        <w:t>surgery.</w:t>
      </w:r>
      <w:proofErr w:type="gramEnd"/>
      <w:r>
        <w:rPr>
          <w:rFonts w:eastAsiaTheme="minorHAnsi"/>
          <w:sz w:val="19"/>
          <w:szCs w:val="19"/>
          <w:lang w:val="en-GB"/>
        </w:rPr>
        <w:t xml:space="preserve"> Patients</w:t>
      </w:r>
      <w:r w:rsidR="00EB155B">
        <w:rPr>
          <w:rFonts w:eastAsiaTheme="minorHAnsi"/>
          <w:sz w:val="19"/>
          <w:szCs w:val="19"/>
          <w:lang w:val="en-GB"/>
        </w:rPr>
        <w:t xml:space="preserve"> </w:t>
      </w:r>
      <w:r>
        <w:rPr>
          <w:rFonts w:eastAsiaTheme="minorHAnsi"/>
          <w:sz w:val="19"/>
          <w:szCs w:val="19"/>
          <w:lang w:val="en-GB"/>
        </w:rPr>
        <w:t>with a residual high-grade slip following surgery were referred to the postoperative high-grade (PHG) group, while patients with a residual low-grade slip were referred to the postoperative low-grade (PLG) group. Pelvic balance was assessed from pelvic tilt and sacral slope, in order to identify patients with a balanced pelvis or unbalanced pelvis. The SRS-22 questionnaire was completed before surgery and at last follow-up.</w:t>
      </w:r>
    </w:p>
    <w:p w14:paraId="3BC84563" w14:textId="77777777" w:rsidR="007C48A9" w:rsidRDefault="007C48A9" w:rsidP="007C48A9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rPr>
          <w:rFonts w:eastAsiaTheme="minorHAnsi"/>
          <w:sz w:val="19"/>
          <w:szCs w:val="19"/>
          <w:lang w:val="en-GB"/>
        </w:rPr>
        <w:t>Results: Postoperatively, there were 36 patients with a balanced pelvis and 24 patients with an unbalanced pelvis. The improvement in QoL was better in patients with a postoperative balanced pelvis. There were 14 patients in the PHG group and 46 patients in the PLG group. Four of seven patients (57%) in the PHG group and 21 of 26 patients (81%) in the PLG group with a preoperative balanced pelvis maintained a balanced pelvis postoperatively (P = 0.1). None of the patients in the PHG group and 11 of 20 patients (55%) in the PLG group improved from an unbalanced to a balanced pelvis postoperatively (P &lt; 0.05).</w:t>
      </w:r>
    </w:p>
    <w:p w14:paraId="3C07DFDF" w14:textId="04936544" w:rsidR="00AE3E37" w:rsidRPr="007C48A9" w:rsidRDefault="007C48A9" w:rsidP="007C48A9">
      <w:pPr>
        <w:autoSpaceDE w:val="0"/>
        <w:autoSpaceDN w:val="0"/>
        <w:adjustRightInd w:val="0"/>
        <w:jc w:val="both"/>
        <w:rPr>
          <w:rFonts w:eastAsiaTheme="minorHAnsi"/>
          <w:sz w:val="19"/>
          <w:szCs w:val="19"/>
          <w:lang w:val="en-GB"/>
        </w:rPr>
      </w:pPr>
      <w:r>
        <w:rPr>
          <w:rFonts w:eastAsiaTheme="minorHAnsi"/>
          <w:sz w:val="19"/>
          <w:szCs w:val="19"/>
          <w:lang w:val="en-GB"/>
        </w:rPr>
        <w:t>Conclusions: Surgical reduction in high- to low-grade slip is more effective in maintaining and restoring a normal pelvic</w:t>
      </w:r>
      <w:r>
        <w:rPr>
          <w:rFonts w:eastAsiaTheme="minorHAnsi"/>
          <w:sz w:val="19"/>
          <w:szCs w:val="19"/>
          <w:lang w:val="en-GB"/>
        </w:rPr>
        <w:t xml:space="preserve"> </w:t>
      </w:r>
      <w:r>
        <w:rPr>
          <w:rFonts w:eastAsiaTheme="minorHAnsi"/>
          <w:sz w:val="19"/>
          <w:szCs w:val="19"/>
          <w:lang w:val="en-GB"/>
        </w:rPr>
        <w:t>balance postoperatively.</w:t>
      </w:r>
      <w:r w:rsidR="00A9710C">
        <w:br w:type="column"/>
      </w:r>
    </w:p>
    <w:p w14:paraId="15243E30" w14:textId="4CAFBF1E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A7278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D798304" w14:textId="1E040AF3" w:rsidR="00FC2D05" w:rsidRPr="00322CAD" w:rsidRDefault="00FC2D05" w:rsidP="00FC2D05">
      <w:pPr>
        <w:pStyle w:val="Bibliography"/>
        <w:rPr>
          <w:rFonts w:hAnsiTheme="majorHAnsi"/>
          <w:color w:val="000000"/>
          <w:sz w:val="20"/>
          <w:szCs w:val="20"/>
        </w:rPr>
      </w:pPr>
      <w:r>
        <w:rPr>
          <w:rFonts w:hAnsiTheme="majorHAnsi"/>
          <w:color w:val="000000"/>
          <w:sz w:val="20"/>
          <w:szCs w:val="20"/>
        </w:rPr>
        <w:t xml:space="preserve">1. </w:t>
      </w:r>
      <w:r w:rsidRPr="00322CAD">
        <w:rPr>
          <w:rFonts w:hAnsiTheme="majorHAnsi"/>
          <w:color w:val="000000"/>
          <w:sz w:val="20"/>
          <w:szCs w:val="20"/>
        </w:rPr>
        <w:t xml:space="preserve">Klein G, Mehlman CT, McCarty M. Nonoperative treatment of spondylolysis and grade I spondylolisthesis in children and young adults: a meta-analysis of observational studies. J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Pediatr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Orthop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>. 2009 Mar;29(2):146</w:t>
      </w:r>
      <w:r w:rsidRPr="00322CAD">
        <w:rPr>
          <w:rFonts w:hAnsiTheme="majorHAnsi"/>
          <w:color w:val="000000"/>
          <w:sz w:val="20"/>
          <w:szCs w:val="20"/>
        </w:rPr>
        <w:t>–</w:t>
      </w:r>
      <w:r w:rsidRPr="00322CAD">
        <w:rPr>
          <w:rFonts w:hAnsiTheme="majorHAnsi"/>
          <w:color w:val="000000"/>
          <w:sz w:val="20"/>
          <w:szCs w:val="20"/>
        </w:rPr>
        <w:t xml:space="preserve">56. </w:t>
      </w:r>
    </w:p>
    <w:p w14:paraId="29A40799" w14:textId="088E2BAE" w:rsidR="00FC2D05" w:rsidRPr="00322CAD" w:rsidRDefault="00FC2D05" w:rsidP="00FC2D05">
      <w:pPr>
        <w:pStyle w:val="Bibliography"/>
        <w:rPr>
          <w:rFonts w:hAnsiTheme="majorHAnsi"/>
          <w:color w:val="000000"/>
          <w:sz w:val="20"/>
          <w:szCs w:val="20"/>
        </w:rPr>
      </w:pPr>
      <w:r>
        <w:rPr>
          <w:rFonts w:hAnsiTheme="majorHAnsi"/>
          <w:color w:val="000000"/>
          <w:sz w:val="20"/>
          <w:szCs w:val="20"/>
        </w:rPr>
        <w:t xml:space="preserve">2. </w:t>
      </w:r>
      <w:r w:rsidRPr="00322CAD">
        <w:rPr>
          <w:rFonts w:hAnsiTheme="majorHAnsi"/>
          <w:color w:val="000000"/>
          <w:sz w:val="20"/>
          <w:szCs w:val="20"/>
        </w:rPr>
        <w:t xml:space="preserve">Fredrickson BE, Baker D,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McHolick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WJ, Yuan HA,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Lubicky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JP. The natural history of spondylolysis and spondylolisthesis. J Bone Joint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Surg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Am. 1984 Jun;66(5):699</w:t>
      </w:r>
      <w:r w:rsidRPr="00322CAD">
        <w:rPr>
          <w:rFonts w:hAnsiTheme="majorHAnsi"/>
          <w:color w:val="000000"/>
          <w:sz w:val="20"/>
          <w:szCs w:val="20"/>
        </w:rPr>
        <w:t>–</w:t>
      </w:r>
      <w:r w:rsidRPr="00322CAD">
        <w:rPr>
          <w:rFonts w:hAnsiTheme="majorHAnsi"/>
          <w:color w:val="000000"/>
          <w:sz w:val="20"/>
          <w:szCs w:val="20"/>
        </w:rPr>
        <w:t xml:space="preserve">707. </w:t>
      </w:r>
    </w:p>
    <w:p w14:paraId="14C43594" w14:textId="49E64868" w:rsidR="00FC2D05" w:rsidRPr="00322CAD" w:rsidRDefault="00FC2D05" w:rsidP="00FC2D05">
      <w:pPr>
        <w:pStyle w:val="Bibliography"/>
        <w:rPr>
          <w:rFonts w:hAnsiTheme="majorHAnsi"/>
          <w:color w:val="000000"/>
          <w:sz w:val="20"/>
          <w:szCs w:val="20"/>
        </w:rPr>
      </w:pPr>
      <w:r w:rsidRPr="00322CAD">
        <w:rPr>
          <w:rFonts w:hAnsiTheme="majorHAnsi"/>
          <w:color w:val="000000"/>
          <w:sz w:val="20"/>
          <w:szCs w:val="20"/>
        </w:rPr>
        <w:t>3.</w:t>
      </w:r>
      <w:r>
        <w:rPr>
          <w:rFonts w:hAnsiTheme="majorHAnsi"/>
          <w:color w:val="000000"/>
          <w:sz w:val="20"/>
          <w:szCs w:val="20"/>
        </w:rPr>
        <w:t xml:space="preserve">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Legaye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J, Duval-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Beaup</w:t>
      </w:r>
      <w:r w:rsidRPr="00322CAD">
        <w:rPr>
          <w:rFonts w:hAnsiTheme="majorHAnsi"/>
          <w:color w:val="000000"/>
          <w:sz w:val="20"/>
          <w:szCs w:val="20"/>
        </w:rPr>
        <w:t>è</w:t>
      </w:r>
      <w:r w:rsidRPr="00322CAD">
        <w:rPr>
          <w:rFonts w:hAnsiTheme="majorHAnsi"/>
          <w:color w:val="000000"/>
          <w:sz w:val="20"/>
          <w:szCs w:val="20"/>
        </w:rPr>
        <w:t>re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G,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Hecquet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J, Marty C. Pelvic incidence: a fundamental pelvic parameter for three-dimensional regulation of spinal sagittal curves.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J Off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Publ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Soc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Spinal Deform Soc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Sect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Cerv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Res Soc. 1998;7(2):99</w:t>
      </w:r>
      <w:r w:rsidRPr="00322CAD">
        <w:rPr>
          <w:rFonts w:hAnsiTheme="majorHAnsi"/>
          <w:color w:val="000000"/>
          <w:sz w:val="20"/>
          <w:szCs w:val="20"/>
        </w:rPr>
        <w:t>–</w:t>
      </w:r>
      <w:r w:rsidRPr="00322CAD">
        <w:rPr>
          <w:rFonts w:hAnsiTheme="majorHAnsi"/>
          <w:color w:val="000000"/>
          <w:sz w:val="20"/>
          <w:szCs w:val="20"/>
        </w:rPr>
        <w:t xml:space="preserve">103. </w:t>
      </w:r>
    </w:p>
    <w:p w14:paraId="46481CB2" w14:textId="2274A64F" w:rsidR="00FC2D05" w:rsidRPr="00322CAD" w:rsidRDefault="00FC2D05" w:rsidP="00FC2D05">
      <w:pPr>
        <w:pStyle w:val="Bibliography"/>
        <w:rPr>
          <w:rFonts w:hAnsiTheme="majorHAnsi"/>
          <w:color w:val="000000"/>
          <w:sz w:val="20"/>
          <w:szCs w:val="20"/>
        </w:rPr>
      </w:pPr>
      <w:r w:rsidRPr="00322CAD">
        <w:rPr>
          <w:rFonts w:hAnsiTheme="majorHAnsi"/>
          <w:color w:val="000000"/>
          <w:sz w:val="20"/>
          <w:szCs w:val="20"/>
        </w:rPr>
        <w:t>4. Labelle H, Mac-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Thiong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J-M,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Roussouly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P.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Spino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-pelvic sagittal balance of spondylolisthesis: a review and classification.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J Off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Publ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Soc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Spinal Deform Soc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Eur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Sect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Cerv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Spine Res Soc. 2011 Sep;20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Suppl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5:641</w:t>
      </w:r>
      <w:r w:rsidRPr="00322CAD">
        <w:rPr>
          <w:rFonts w:hAnsiTheme="majorHAnsi"/>
          <w:color w:val="000000"/>
          <w:sz w:val="20"/>
          <w:szCs w:val="20"/>
        </w:rPr>
        <w:t>–</w:t>
      </w:r>
      <w:r w:rsidRPr="00322CAD">
        <w:rPr>
          <w:rFonts w:hAnsiTheme="majorHAnsi"/>
          <w:color w:val="000000"/>
          <w:sz w:val="20"/>
          <w:szCs w:val="20"/>
        </w:rPr>
        <w:t xml:space="preserve">6. </w:t>
      </w:r>
    </w:p>
    <w:p w14:paraId="5781BFC4" w14:textId="701CE715" w:rsidR="00FC2D05" w:rsidRPr="00322CAD" w:rsidRDefault="00FC2D05" w:rsidP="00FC2D05">
      <w:pPr>
        <w:pStyle w:val="Bibliography"/>
        <w:rPr>
          <w:rFonts w:hAnsiTheme="majorHAnsi"/>
          <w:color w:val="000000"/>
          <w:sz w:val="20"/>
          <w:szCs w:val="20"/>
        </w:rPr>
      </w:pPr>
      <w:r w:rsidRPr="00322CAD">
        <w:rPr>
          <w:rFonts w:hAnsiTheme="majorHAnsi"/>
          <w:color w:val="000000"/>
          <w:sz w:val="20"/>
          <w:szCs w:val="20"/>
        </w:rPr>
        <w:t xml:space="preserve">5. Huang RP, 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Bohlman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HH, Thompson GH, Poe-</w:t>
      </w:r>
      <w:proofErr w:type="spellStart"/>
      <w:r w:rsidRPr="00322CAD">
        <w:rPr>
          <w:rFonts w:hAnsiTheme="majorHAnsi"/>
          <w:color w:val="000000"/>
          <w:sz w:val="20"/>
          <w:szCs w:val="20"/>
        </w:rPr>
        <w:t>Kochert</w:t>
      </w:r>
      <w:proofErr w:type="spellEnd"/>
      <w:r w:rsidRPr="00322CAD">
        <w:rPr>
          <w:rFonts w:hAnsiTheme="majorHAnsi"/>
          <w:color w:val="000000"/>
          <w:sz w:val="20"/>
          <w:szCs w:val="20"/>
        </w:rPr>
        <w:t xml:space="preserve"> C. Predictive value of pelvic incidence in progression of spondylolisthesis. Spine. 2003 Oct 15;28(20):2381</w:t>
      </w:r>
      <w:r w:rsidRPr="00322CAD">
        <w:rPr>
          <w:rFonts w:hAnsiTheme="majorHAnsi"/>
          <w:color w:val="000000"/>
          <w:sz w:val="20"/>
          <w:szCs w:val="20"/>
        </w:rPr>
        <w:t>–</w:t>
      </w:r>
      <w:r w:rsidRPr="00322CAD">
        <w:rPr>
          <w:rFonts w:hAnsiTheme="majorHAnsi"/>
          <w:color w:val="000000"/>
          <w:sz w:val="20"/>
          <w:szCs w:val="20"/>
        </w:rPr>
        <w:t xml:space="preserve">5; discussion 2385. </w:t>
      </w: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03EF2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8E4CCD7" w14:textId="2389FDAD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7FD5ACFC" w:rsidR="00A126D8" w:rsidRDefault="007C48A9" w:rsidP="00A126D8">
      <w:pPr>
        <w:spacing w:before="92"/>
        <w:ind w:right="4234"/>
        <w:rPr>
          <w:rFonts w:ascii="Arial"/>
          <w:color w:val="BF5A14"/>
        </w:rPr>
      </w:pPr>
      <w:r>
        <w:rPr>
          <w:caps/>
          <w:noProof/>
        </w:rPr>
        <w:drawing>
          <wp:anchor distT="0" distB="0" distL="114300" distR="114300" simplePos="0" relativeHeight="251658240" behindDoc="1" locked="0" layoutInCell="1" allowOverlap="1" wp14:anchorId="3985E440" wp14:editId="12EAE26F">
            <wp:simplePos x="0" y="0"/>
            <wp:positionH relativeFrom="column">
              <wp:posOffset>2701319</wp:posOffset>
            </wp:positionH>
            <wp:positionV relativeFrom="paragraph">
              <wp:posOffset>143452</wp:posOffset>
            </wp:positionV>
            <wp:extent cx="711976" cy="911329"/>
            <wp:effectExtent l="0" t="0" r="0" b="3175"/>
            <wp:wrapTight wrapText="bothSides">
              <wp:wrapPolygon edited="0">
                <wp:start x="0" y="0"/>
                <wp:lineTo x="0" y="21374"/>
                <wp:lineTo x="21195" y="21374"/>
                <wp:lineTo x="2119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76" cy="91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4AEA064F" w14:textId="77777777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2326780F" w14:textId="497909E4" w:rsidR="00636F55" w:rsidRPr="00902C0A" w:rsidRDefault="00A9710C" w:rsidP="00902C0A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207892E" w14:textId="77777777" w:rsidR="007C48A9" w:rsidRDefault="007C48A9" w:rsidP="007C48A9">
      <w:pPr>
        <w:jc w:val="both"/>
      </w:pPr>
      <w:r>
        <w:t>Abdulmajeed Alzakri</w:t>
      </w:r>
      <w:r w:rsidRPr="00BC5A18">
        <w:t xml:space="preserve"> has completed his </w:t>
      </w:r>
      <w:r>
        <w:t>residency in orthopedics surgery</w:t>
      </w:r>
      <w:r w:rsidRPr="00BC5A18">
        <w:t xml:space="preserve"> at the</w:t>
      </w:r>
      <w:r>
        <w:t xml:space="preserve"> U</w:t>
      </w:r>
      <w:r w:rsidRPr="00BC5A18">
        <w:t>niversity</w:t>
      </w:r>
      <w:r>
        <w:t xml:space="preserve"> of Strasbourg</w:t>
      </w:r>
      <w:r w:rsidRPr="00BC5A18">
        <w:t xml:space="preserve">, </w:t>
      </w:r>
      <w:r>
        <w:t>France</w:t>
      </w:r>
      <w:r w:rsidRPr="00BC5A18">
        <w:t xml:space="preserve">. </w:t>
      </w:r>
      <w:r>
        <w:t xml:space="preserve">He did double fellowship in pediatric and adult spinal surgery at the Montreal University, Canada then at the Bordeaux University, France. He had a master degree in clinical biomechanics from ENSAM center, France. </w:t>
      </w:r>
    </w:p>
    <w:p w14:paraId="47B045C4" w14:textId="77777777" w:rsidR="003A517C" w:rsidRDefault="003A517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05B4DA1" w14:textId="77777777" w:rsidR="007C48A9" w:rsidRDefault="007C48A9" w:rsidP="007C48A9">
      <w:r w:rsidRPr="009B303B">
        <w:rPr>
          <w:b/>
          <w:bCs/>
        </w:rPr>
        <w:t>Presenter Name:</w:t>
      </w:r>
      <w:r>
        <w:t xml:space="preserve"> Abdulmajeed Alzakri.</w:t>
      </w:r>
    </w:p>
    <w:p w14:paraId="19BDC732" w14:textId="0C776AB3" w:rsidR="007C48A9" w:rsidRDefault="007C48A9" w:rsidP="007C48A9">
      <w:r w:rsidRPr="009B303B">
        <w:rPr>
          <w:b/>
          <w:bCs/>
        </w:rPr>
        <w:t>Mode of Presentation:</w:t>
      </w:r>
      <w:r>
        <w:t xml:space="preserve"> </w:t>
      </w:r>
      <w:r w:rsidR="00FC7D8E">
        <w:t>oral</w:t>
      </w:r>
      <w:r>
        <w:t>.</w:t>
      </w:r>
    </w:p>
    <w:p w14:paraId="189BA863" w14:textId="72CBCC37" w:rsidR="005575CD" w:rsidRPr="00EB155B" w:rsidRDefault="007C48A9" w:rsidP="00EB155B">
      <w:r w:rsidRPr="009B303B">
        <w:rPr>
          <w:b/>
          <w:bCs/>
        </w:rPr>
        <w:t>Contact number:</w:t>
      </w:r>
      <w:r>
        <w:t xml:space="preserve"> </w:t>
      </w:r>
      <w:r w:rsidRPr="00824C00">
        <w:t>+</w:t>
      </w:r>
      <w:r>
        <w:t>966</w:t>
      </w:r>
      <w:r w:rsidRPr="00824C00">
        <w:t xml:space="preserve"> </w:t>
      </w:r>
      <w:r>
        <w:t>506 455 111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AAFA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4A47F944" w14:textId="44FC6B8B" w:rsidR="00BB3B5C" w:rsidRPr="00A61978" w:rsidRDefault="00BB3B5C" w:rsidP="00A61978">
      <w:pPr>
        <w:pStyle w:val="BodyText"/>
        <w:spacing w:before="90" w:line="280" w:lineRule="auto"/>
        <w:ind w:left="100"/>
        <w:jc w:val="both"/>
        <w:sectPr w:rsidR="00BB3B5C" w:rsidRPr="00A6197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766CD9">
        <w:t>Abstract Category:</w:t>
      </w:r>
      <w:r w:rsidR="007C48A9">
        <w:t xml:space="preserve"> Miscellaneous (</w:t>
      </w:r>
      <w:proofErr w:type="spellStart"/>
      <w:r w:rsidR="007C48A9">
        <w:t>spondy</w:t>
      </w:r>
      <w:proofErr w:type="spellEnd"/>
      <w:r w:rsidR="007C48A9">
        <w:t xml:space="preserve">) </w:t>
      </w: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FB7AA" w14:textId="77777777" w:rsidR="00B346A0" w:rsidRDefault="00B346A0">
      <w:r>
        <w:separator/>
      </w:r>
    </w:p>
  </w:endnote>
  <w:endnote w:type="continuationSeparator" w:id="0">
    <w:p w14:paraId="70CD7E7D" w14:textId="77777777" w:rsidR="00B346A0" w:rsidRDefault="00B3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45199" w14:textId="77777777" w:rsidR="00B346A0" w:rsidRDefault="00B346A0">
      <w:r>
        <w:separator/>
      </w:r>
    </w:p>
  </w:footnote>
  <w:footnote w:type="continuationSeparator" w:id="0">
    <w:p w14:paraId="70EDEA05" w14:textId="77777777" w:rsidR="00B346A0" w:rsidRDefault="00B34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1DBC" w14:textId="11F5D2EE" w:rsidR="00AE3E37" w:rsidRDefault="006D1D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962881818">
    <w:abstractNumId w:val="0"/>
  </w:num>
  <w:num w:numId="2" w16cid:durableId="1204512772">
    <w:abstractNumId w:val="1"/>
  </w:num>
  <w:num w:numId="3" w16cid:durableId="185376099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4DEB"/>
    <w:rsid w:val="000579E6"/>
    <w:rsid w:val="00082E46"/>
    <w:rsid w:val="000E2911"/>
    <w:rsid w:val="00125E6E"/>
    <w:rsid w:val="001263DF"/>
    <w:rsid w:val="001C2C62"/>
    <w:rsid w:val="001D105D"/>
    <w:rsid w:val="001E763C"/>
    <w:rsid w:val="002379B1"/>
    <w:rsid w:val="00255F0C"/>
    <w:rsid w:val="00292ED9"/>
    <w:rsid w:val="002A43AB"/>
    <w:rsid w:val="00314AFB"/>
    <w:rsid w:val="003A517C"/>
    <w:rsid w:val="003B76D9"/>
    <w:rsid w:val="00404E5B"/>
    <w:rsid w:val="00414F7B"/>
    <w:rsid w:val="004355DC"/>
    <w:rsid w:val="0045638E"/>
    <w:rsid w:val="004749B4"/>
    <w:rsid w:val="00494130"/>
    <w:rsid w:val="004F3523"/>
    <w:rsid w:val="00535D8C"/>
    <w:rsid w:val="005526D6"/>
    <w:rsid w:val="005575CD"/>
    <w:rsid w:val="00593E8C"/>
    <w:rsid w:val="005973B9"/>
    <w:rsid w:val="005B3A56"/>
    <w:rsid w:val="006060CE"/>
    <w:rsid w:val="0063294A"/>
    <w:rsid w:val="0063497F"/>
    <w:rsid w:val="00636F55"/>
    <w:rsid w:val="00692DFB"/>
    <w:rsid w:val="006D1D8D"/>
    <w:rsid w:val="006E21CE"/>
    <w:rsid w:val="00733CCC"/>
    <w:rsid w:val="00766CD9"/>
    <w:rsid w:val="0078738A"/>
    <w:rsid w:val="007C48A9"/>
    <w:rsid w:val="00843A57"/>
    <w:rsid w:val="00873DF0"/>
    <w:rsid w:val="008756E6"/>
    <w:rsid w:val="00894F4D"/>
    <w:rsid w:val="00902C0A"/>
    <w:rsid w:val="00903D0A"/>
    <w:rsid w:val="009A690B"/>
    <w:rsid w:val="009B2D44"/>
    <w:rsid w:val="009C1181"/>
    <w:rsid w:val="00A07E82"/>
    <w:rsid w:val="00A126D8"/>
    <w:rsid w:val="00A61978"/>
    <w:rsid w:val="00A64D0E"/>
    <w:rsid w:val="00A86C62"/>
    <w:rsid w:val="00A9710C"/>
    <w:rsid w:val="00AE1F2A"/>
    <w:rsid w:val="00AE3E37"/>
    <w:rsid w:val="00B21A57"/>
    <w:rsid w:val="00B31823"/>
    <w:rsid w:val="00B3278B"/>
    <w:rsid w:val="00B346A0"/>
    <w:rsid w:val="00B6112B"/>
    <w:rsid w:val="00BB3B5C"/>
    <w:rsid w:val="00C06552"/>
    <w:rsid w:val="00C33602"/>
    <w:rsid w:val="00C83003"/>
    <w:rsid w:val="00CA4143"/>
    <w:rsid w:val="00CD6F55"/>
    <w:rsid w:val="00D604EE"/>
    <w:rsid w:val="00D62425"/>
    <w:rsid w:val="00DE3104"/>
    <w:rsid w:val="00E25135"/>
    <w:rsid w:val="00E93162"/>
    <w:rsid w:val="00EB155B"/>
    <w:rsid w:val="00ED4E1F"/>
    <w:rsid w:val="00F72EEA"/>
    <w:rsid w:val="00F8136A"/>
    <w:rsid w:val="00F84CAE"/>
    <w:rsid w:val="00FC1C06"/>
    <w:rsid w:val="00FC273E"/>
    <w:rsid w:val="00FC2D05"/>
    <w:rsid w:val="00FC7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88C67"/>
  <w15:docId w15:val="{0755C94C-6AF5-E540-AFD7-184EEF06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C2D05"/>
    <w:pPr>
      <w:widowControl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Abdulmajeed A Alzakri</cp:lastModifiedBy>
  <cp:revision>7</cp:revision>
  <dcterms:created xsi:type="dcterms:W3CDTF">2022-07-12T14:04:00Z</dcterms:created>
  <dcterms:modified xsi:type="dcterms:W3CDTF">2022-07-12T14:07:00Z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