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35A11" w14:textId="66268840" w:rsidR="00AE3E37" w:rsidRDefault="00F074C0" w:rsidP="00494130">
      <w:pPr>
        <w:pStyle w:val="1"/>
        <w:spacing w:before="170"/>
        <w:ind w:left="0"/>
      </w:pPr>
      <w:r w:rsidRPr="00F074C0">
        <w:rPr>
          <w:color w:val="337AB7"/>
        </w:rPr>
        <w:t>Thoracolumbar junction traumatic injury: what is the best classification to determine treatment tactics?</w:t>
      </w:r>
    </w:p>
    <w:p w14:paraId="174C5D13" w14:textId="3BBCEBFB" w:rsidR="004F2622" w:rsidRDefault="00DE50C5" w:rsidP="001A2A74">
      <w:pPr>
        <w:pStyle w:val="a3"/>
        <w:spacing w:before="73" w:line="198" w:lineRule="exact"/>
        <w:ind w:right="58"/>
        <w:jc w:val="both"/>
        <w:rPr>
          <w:rFonts w:ascii="Arial"/>
        </w:rPr>
      </w:pPr>
      <w:r w:rsidRPr="004F2622">
        <w:rPr>
          <w:rFonts w:ascii="Arial"/>
        </w:rPr>
        <w:t>Oleksii</w:t>
      </w:r>
      <w:r w:rsidRPr="004F2622">
        <w:rPr>
          <w:rFonts w:ascii="Arial"/>
        </w:rPr>
        <w:t xml:space="preserve"> </w:t>
      </w:r>
      <w:r>
        <w:rPr>
          <w:rFonts w:ascii="Arial"/>
        </w:rPr>
        <w:t xml:space="preserve">S. </w:t>
      </w:r>
      <w:r w:rsidR="004F2622" w:rsidRPr="004F2622">
        <w:rPr>
          <w:rFonts w:ascii="Arial"/>
        </w:rPr>
        <w:t xml:space="preserve">Nekhlopochyn, MD, PhD, Department of spinal neurosurgery, </w:t>
      </w:r>
      <w:proofErr w:type="spellStart"/>
      <w:r w:rsidR="004F2622" w:rsidRPr="004F2622">
        <w:rPr>
          <w:rFonts w:ascii="Arial"/>
        </w:rPr>
        <w:t>Romodanov</w:t>
      </w:r>
      <w:proofErr w:type="spellEnd"/>
      <w:r w:rsidR="004F2622" w:rsidRPr="004F2622">
        <w:rPr>
          <w:rFonts w:ascii="Arial"/>
        </w:rPr>
        <w:t xml:space="preserve"> Neurosurgery Institute, Kiev, Ukraine </w:t>
      </w:r>
    </w:p>
    <w:p w14:paraId="77BDEEAA" w14:textId="0B689D80" w:rsidR="00AE3E37" w:rsidRDefault="009A2281" w:rsidP="001A2A74">
      <w:pPr>
        <w:pStyle w:val="a3"/>
        <w:spacing w:before="73" w:line="198" w:lineRule="exact"/>
        <w:ind w:right="58"/>
        <w:jc w:val="both"/>
        <w:rPr>
          <w:rFonts w:ascii="Arial"/>
        </w:rPr>
      </w:pPr>
      <w:r w:rsidRPr="009A2281">
        <w:rPr>
          <w:rFonts w:ascii="Arial"/>
        </w:rPr>
        <w:t xml:space="preserve">Vadim V. </w:t>
      </w:r>
      <w:proofErr w:type="spellStart"/>
      <w:r w:rsidRPr="009A2281">
        <w:rPr>
          <w:rFonts w:ascii="Arial"/>
        </w:rPr>
        <w:t>Verbov</w:t>
      </w:r>
      <w:proofErr w:type="spellEnd"/>
      <w:r w:rsidRPr="009A2281">
        <w:rPr>
          <w:rFonts w:ascii="Arial"/>
        </w:rPr>
        <w:t xml:space="preserve">, MD, PhD; </w:t>
      </w:r>
      <w:proofErr w:type="spellStart"/>
      <w:r w:rsidRPr="009A2281">
        <w:rPr>
          <w:rFonts w:ascii="Arial"/>
        </w:rPr>
        <w:t>Iaroslav</w:t>
      </w:r>
      <w:proofErr w:type="spellEnd"/>
      <w:r w:rsidRPr="009A2281">
        <w:rPr>
          <w:rFonts w:ascii="Arial"/>
        </w:rPr>
        <w:t xml:space="preserve"> V. </w:t>
      </w:r>
      <w:proofErr w:type="spellStart"/>
      <w:r w:rsidRPr="009A2281">
        <w:rPr>
          <w:rFonts w:ascii="Arial"/>
        </w:rPr>
        <w:t>Tsymbaliuk</w:t>
      </w:r>
      <w:proofErr w:type="spellEnd"/>
      <w:r w:rsidRPr="009A2281">
        <w:rPr>
          <w:rFonts w:ascii="Arial"/>
        </w:rPr>
        <w:t>, MD, PhD</w:t>
      </w:r>
      <w:r w:rsidR="001A2A74">
        <w:rPr>
          <w:rFonts w:ascii="Arial"/>
        </w:rPr>
        <w:t>,</w:t>
      </w:r>
      <w:r w:rsidRPr="009A2281">
        <w:rPr>
          <w:rFonts w:ascii="Arial"/>
        </w:rPr>
        <w:t xml:space="preserve"> Restorative Neurosurgery Department, </w:t>
      </w:r>
      <w:proofErr w:type="spellStart"/>
      <w:r w:rsidRPr="009A2281">
        <w:rPr>
          <w:rFonts w:ascii="Arial"/>
        </w:rPr>
        <w:t>Romodanov</w:t>
      </w:r>
      <w:proofErr w:type="spellEnd"/>
      <w:r w:rsidRPr="009A2281">
        <w:rPr>
          <w:rFonts w:ascii="Arial"/>
        </w:rPr>
        <w:t xml:space="preserve"> Neurosurgery Institute, Kyiv, Ukraine</w:t>
      </w:r>
    </w:p>
    <w:p w14:paraId="11AC6B8F" w14:textId="77777777" w:rsidR="001A2A74" w:rsidRPr="00DE50C5" w:rsidRDefault="001A2A74" w:rsidP="003B0EAD">
      <w:pPr>
        <w:pStyle w:val="a3"/>
        <w:spacing w:before="73" w:line="198" w:lineRule="exact"/>
        <w:ind w:right="58"/>
        <w:rPr>
          <w:rFonts w:ascii="Arial"/>
        </w:rPr>
      </w:pPr>
    </w:p>
    <w:p w14:paraId="4C79D882" w14:textId="77777777" w:rsidR="00AE3E37" w:rsidRDefault="00AE3E37">
      <w:pPr>
        <w:rPr>
          <w:rFonts w:ascii="Arial"/>
          <w:sz w:val="21"/>
        </w:rPr>
        <w:sectPr w:rsidR="00AE3E37" w:rsidSect="00CA4143">
          <w:headerReference w:type="default" r:id="rId7"/>
          <w:footerReference w:type="default" r:id="rId8"/>
          <w:type w:val="continuous"/>
          <w:pgSz w:w="11910" w:h="16840"/>
          <w:pgMar w:top="1971" w:right="600" w:bottom="840" w:left="620" w:header="541" w:footer="642" w:gutter="0"/>
          <w:cols w:space="720"/>
        </w:sectPr>
      </w:pPr>
    </w:p>
    <w:p w14:paraId="38EC8231" w14:textId="77777777" w:rsidR="000B407F" w:rsidRDefault="000B407F" w:rsidP="000B407F">
      <w:pPr>
        <w:pStyle w:val="3"/>
        <w:spacing w:before="74"/>
        <w:jc w:val="both"/>
        <w:rPr>
          <w:rFonts w:ascii="Tw Cen MT" w:eastAsia="Tw Cen MT" w:hAnsi="Tw Cen MT" w:cs="Tw Cen MT"/>
          <w:b w:val="0"/>
          <w:bCs w:val="0"/>
          <w:sz w:val="18"/>
          <w:szCs w:val="18"/>
        </w:rPr>
      </w:pPr>
    </w:p>
    <w:p w14:paraId="06463145" w14:textId="77777777" w:rsidR="00F074C0" w:rsidRPr="00F074C0" w:rsidRDefault="00F074C0" w:rsidP="00F074C0">
      <w:pPr>
        <w:pStyle w:val="3"/>
        <w:spacing w:before="74"/>
        <w:jc w:val="both"/>
        <w:rPr>
          <w:rFonts w:ascii="Tw Cen MT" w:eastAsia="Tw Cen MT" w:hAnsi="Tw Cen MT" w:cs="Tw Cen MT"/>
          <w:b w:val="0"/>
          <w:bCs w:val="0"/>
          <w:sz w:val="18"/>
          <w:szCs w:val="18"/>
        </w:rPr>
      </w:pPr>
      <w:r w:rsidRPr="00F074C0">
        <w:rPr>
          <w:rFonts w:ascii="Tw Cen MT" w:eastAsia="Tw Cen MT" w:hAnsi="Tw Cen MT" w:cs="Tw Cen MT"/>
          <w:b w:val="0"/>
          <w:bCs w:val="0"/>
          <w:sz w:val="18"/>
          <w:szCs w:val="18"/>
        </w:rPr>
        <w:t>The thoracolumbar junction is one of the most "typical" areas of traumatic changes when exposed to a mechanical load on the human body. Currently, a specific classification for injuries of the thoracolumbar junction has not been developed, therefore, when describing injuries in this zone, grading schemas characterizing the whole thoracic and lumbar spine are used.</w:t>
      </w:r>
    </w:p>
    <w:p w14:paraId="4DDCD5E5" w14:textId="77777777" w:rsidR="00F074C0" w:rsidRPr="00F074C0" w:rsidRDefault="00F074C0" w:rsidP="00F074C0">
      <w:pPr>
        <w:pStyle w:val="3"/>
        <w:spacing w:before="74"/>
        <w:jc w:val="both"/>
        <w:rPr>
          <w:rFonts w:ascii="Tw Cen MT" w:eastAsia="Tw Cen MT" w:hAnsi="Tw Cen MT" w:cs="Tw Cen MT"/>
          <w:b w:val="0"/>
          <w:bCs w:val="0"/>
          <w:sz w:val="18"/>
          <w:szCs w:val="18"/>
        </w:rPr>
      </w:pPr>
      <w:r w:rsidRPr="00F074C0">
        <w:rPr>
          <w:rFonts w:ascii="Tw Cen MT" w:eastAsia="Tw Cen MT" w:hAnsi="Tw Cen MT" w:cs="Tw Cen MT"/>
          <w:b w:val="0"/>
          <w:bCs w:val="0"/>
          <w:sz w:val="18"/>
          <w:szCs w:val="18"/>
        </w:rPr>
        <w:t xml:space="preserve">Objective: to evaluate the influence of pathomorphological changes </w:t>
      </w:r>
      <w:proofErr w:type="spellStart"/>
      <w:r w:rsidRPr="00F074C0">
        <w:rPr>
          <w:rFonts w:ascii="Tw Cen MT" w:eastAsia="Tw Cen MT" w:hAnsi="Tw Cen MT" w:cs="Tw Cen MT"/>
          <w:b w:val="0"/>
          <w:bCs w:val="0"/>
          <w:sz w:val="18"/>
          <w:szCs w:val="18"/>
        </w:rPr>
        <w:t>detalization</w:t>
      </w:r>
      <w:proofErr w:type="spellEnd"/>
      <w:r w:rsidRPr="00F074C0">
        <w:rPr>
          <w:rFonts w:ascii="Tw Cen MT" w:eastAsia="Tw Cen MT" w:hAnsi="Tw Cen MT" w:cs="Tw Cen MT"/>
          <w:b w:val="0"/>
          <w:bCs w:val="0"/>
          <w:sz w:val="18"/>
          <w:szCs w:val="18"/>
        </w:rPr>
        <w:t xml:space="preserve"> level of the </w:t>
      </w:r>
      <w:proofErr w:type="spellStart"/>
      <w:r w:rsidRPr="00F074C0">
        <w:rPr>
          <w:rFonts w:ascii="Tw Cen MT" w:eastAsia="Tw Cen MT" w:hAnsi="Tw Cen MT" w:cs="Tw Cen MT"/>
          <w:b w:val="0"/>
          <w:bCs w:val="0"/>
          <w:sz w:val="18"/>
          <w:szCs w:val="18"/>
        </w:rPr>
        <w:t>osteoligamentous</w:t>
      </w:r>
      <w:proofErr w:type="spellEnd"/>
      <w:r w:rsidRPr="00F074C0">
        <w:rPr>
          <w:rFonts w:ascii="Tw Cen MT" w:eastAsia="Tw Cen MT" w:hAnsi="Tw Cen MT" w:cs="Tw Cen MT"/>
          <w:b w:val="0"/>
          <w:bCs w:val="0"/>
          <w:sz w:val="18"/>
          <w:szCs w:val="18"/>
        </w:rPr>
        <w:t xml:space="preserve"> apparatus on the tactics of treating patients with traumatic injury to the thoracolumbar junction.</w:t>
      </w:r>
    </w:p>
    <w:p w14:paraId="2C068404" w14:textId="77777777" w:rsidR="00F074C0" w:rsidRPr="00F074C0" w:rsidRDefault="00F074C0" w:rsidP="00F074C0">
      <w:pPr>
        <w:pStyle w:val="3"/>
        <w:spacing w:before="74"/>
        <w:jc w:val="both"/>
        <w:rPr>
          <w:rFonts w:ascii="Tw Cen MT" w:eastAsia="Tw Cen MT" w:hAnsi="Tw Cen MT" w:cs="Tw Cen MT"/>
          <w:b w:val="0"/>
          <w:bCs w:val="0"/>
          <w:sz w:val="18"/>
          <w:szCs w:val="18"/>
        </w:rPr>
      </w:pPr>
      <w:r w:rsidRPr="00F074C0">
        <w:rPr>
          <w:rFonts w:ascii="Tw Cen MT" w:eastAsia="Tw Cen MT" w:hAnsi="Tw Cen MT" w:cs="Tw Cen MT"/>
          <w:b w:val="0"/>
          <w:bCs w:val="0"/>
          <w:sz w:val="18"/>
          <w:szCs w:val="18"/>
        </w:rPr>
        <w:t>Materials and methods. Within 96 cases of the thoracolumbar junction injury statistical data processing was performed using the Random Forest machine learning algorithm analyzing type of injury, neurological disorders and treatment tactics.</w:t>
      </w:r>
    </w:p>
    <w:p w14:paraId="11034E6B" w14:textId="77777777" w:rsidR="00F074C0" w:rsidRPr="00F074C0" w:rsidRDefault="00F074C0" w:rsidP="00F074C0">
      <w:pPr>
        <w:pStyle w:val="3"/>
        <w:spacing w:before="74"/>
        <w:jc w:val="both"/>
        <w:rPr>
          <w:rFonts w:ascii="Tw Cen MT" w:eastAsia="Tw Cen MT" w:hAnsi="Tw Cen MT" w:cs="Tw Cen MT"/>
          <w:b w:val="0"/>
          <w:bCs w:val="0"/>
          <w:sz w:val="18"/>
          <w:szCs w:val="18"/>
        </w:rPr>
      </w:pPr>
      <w:r w:rsidRPr="00F074C0">
        <w:rPr>
          <w:rFonts w:ascii="Tw Cen MT" w:eastAsia="Tw Cen MT" w:hAnsi="Tw Cen MT" w:cs="Tw Cen MT"/>
          <w:b w:val="0"/>
          <w:bCs w:val="0"/>
          <w:sz w:val="18"/>
          <w:szCs w:val="18"/>
        </w:rPr>
        <w:t xml:space="preserve">Results. When assessing the relationship between the nature of damage and the level of neurological disorders, the overall error rate for F. </w:t>
      </w:r>
      <w:proofErr w:type="spellStart"/>
      <w:r w:rsidRPr="00F074C0">
        <w:rPr>
          <w:rFonts w:ascii="Tw Cen MT" w:eastAsia="Tw Cen MT" w:hAnsi="Tw Cen MT" w:cs="Tw Cen MT"/>
          <w:b w:val="0"/>
          <w:bCs w:val="0"/>
          <w:sz w:val="18"/>
          <w:szCs w:val="18"/>
        </w:rPr>
        <w:t>Magerl</w:t>
      </w:r>
      <w:proofErr w:type="spellEnd"/>
      <w:r w:rsidRPr="00F074C0">
        <w:rPr>
          <w:rFonts w:ascii="Tw Cen MT" w:eastAsia="Tw Cen MT" w:hAnsi="Tw Cen MT" w:cs="Tw Cen MT"/>
          <w:b w:val="0"/>
          <w:bCs w:val="0"/>
          <w:sz w:val="18"/>
          <w:szCs w:val="18"/>
        </w:rPr>
        <w:t xml:space="preserve"> et al. and </w:t>
      </w:r>
      <w:proofErr w:type="spellStart"/>
      <w:r w:rsidRPr="00F074C0">
        <w:rPr>
          <w:rFonts w:ascii="Tw Cen MT" w:eastAsia="Tw Cen MT" w:hAnsi="Tw Cen MT" w:cs="Tw Cen MT"/>
          <w:b w:val="0"/>
          <w:bCs w:val="0"/>
          <w:sz w:val="18"/>
          <w:szCs w:val="18"/>
        </w:rPr>
        <w:t>AOSpine</w:t>
      </w:r>
      <w:proofErr w:type="spellEnd"/>
      <w:r w:rsidRPr="00F074C0">
        <w:rPr>
          <w:rFonts w:ascii="Tw Cen MT" w:eastAsia="Tw Cen MT" w:hAnsi="Tw Cen MT" w:cs="Tw Cen MT"/>
          <w:b w:val="0"/>
          <w:bCs w:val="0"/>
          <w:sz w:val="18"/>
          <w:szCs w:val="18"/>
        </w:rPr>
        <w:t xml:space="preserve"> classifications were 69.79% and 66.67% respectively. The nature of the injury makes it possible to unambiguously determine the optimal method of therapy using the classification of F. </w:t>
      </w:r>
      <w:proofErr w:type="spellStart"/>
      <w:r w:rsidRPr="00F074C0">
        <w:rPr>
          <w:rFonts w:ascii="Tw Cen MT" w:eastAsia="Tw Cen MT" w:hAnsi="Tw Cen MT" w:cs="Tw Cen MT"/>
          <w:b w:val="0"/>
          <w:bCs w:val="0"/>
          <w:sz w:val="18"/>
          <w:szCs w:val="18"/>
        </w:rPr>
        <w:t>Magerl</w:t>
      </w:r>
      <w:proofErr w:type="spellEnd"/>
      <w:r w:rsidRPr="00F074C0">
        <w:rPr>
          <w:rFonts w:ascii="Tw Cen MT" w:eastAsia="Tw Cen MT" w:hAnsi="Tw Cen MT" w:cs="Tw Cen MT"/>
          <w:b w:val="0"/>
          <w:bCs w:val="0"/>
          <w:sz w:val="18"/>
          <w:szCs w:val="18"/>
        </w:rPr>
        <w:t xml:space="preserve"> et al. with a probability of 58.33%, when applying the </w:t>
      </w:r>
      <w:proofErr w:type="spellStart"/>
      <w:r w:rsidRPr="00F074C0">
        <w:rPr>
          <w:rFonts w:ascii="Tw Cen MT" w:eastAsia="Tw Cen MT" w:hAnsi="Tw Cen MT" w:cs="Tw Cen MT"/>
          <w:b w:val="0"/>
          <w:bCs w:val="0"/>
          <w:sz w:val="18"/>
          <w:szCs w:val="18"/>
        </w:rPr>
        <w:t>AOSpine</w:t>
      </w:r>
      <w:proofErr w:type="spellEnd"/>
      <w:r w:rsidRPr="00F074C0">
        <w:rPr>
          <w:rFonts w:ascii="Tw Cen MT" w:eastAsia="Tw Cen MT" w:hAnsi="Tw Cen MT" w:cs="Tw Cen MT"/>
          <w:b w:val="0"/>
          <w:bCs w:val="0"/>
          <w:sz w:val="18"/>
          <w:szCs w:val="18"/>
        </w:rPr>
        <w:t xml:space="preserve"> classification - with a probability of 55.21%. When building models taking into account the nature of damage, the level of neurological disorders and McCormack criteria, it was found that the error in unambiguously determining the most effective method of treatment when using the classification of F. </w:t>
      </w:r>
      <w:proofErr w:type="spellStart"/>
      <w:r w:rsidRPr="00F074C0">
        <w:rPr>
          <w:rFonts w:ascii="Tw Cen MT" w:eastAsia="Tw Cen MT" w:hAnsi="Tw Cen MT" w:cs="Tw Cen MT"/>
          <w:b w:val="0"/>
          <w:bCs w:val="0"/>
          <w:sz w:val="18"/>
          <w:szCs w:val="18"/>
        </w:rPr>
        <w:t>Magerl</w:t>
      </w:r>
      <w:proofErr w:type="spellEnd"/>
      <w:r w:rsidRPr="00F074C0">
        <w:rPr>
          <w:rFonts w:ascii="Tw Cen MT" w:eastAsia="Tw Cen MT" w:hAnsi="Tw Cen MT" w:cs="Tw Cen MT"/>
          <w:b w:val="0"/>
          <w:bCs w:val="0"/>
          <w:sz w:val="18"/>
          <w:szCs w:val="18"/>
        </w:rPr>
        <w:t xml:space="preserve"> et al. is 26.04%, when using the </w:t>
      </w:r>
      <w:proofErr w:type="spellStart"/>
      <w:r w:rsidRPr="00F074C0">
        <w:rPr>
          <w:rFonts w:ascii="Tw Cen MT" w:eastAsia="Tw Cen MT" w:hAnsi="Tw Cen MT" w:cs="Tw Cen MT"/>
          <w:b w:val="0"/>
          <w:bCs w:val="0"/>
          <w:sz w:val="18"/>
          <w:szCs w:val="18"/>
        </w:rPr>
        <w:t>AOSpine</w:t>
      </w:r>
      <w:proofErr w:type="spellEnd"/>
      <w:r w:rsidRPr="00F074C0">
        <w:rPr>
          <w:rFonts w:ascii="Tw Cen MT" w:eastAsia="Tw Cen MT" w:hAnsi="Tw Cen MT" w:cs="Tw Cen MT"/>
          <w:b w:val="0"/>
          <w:bCs w:val="0"/>
          <w:sz w:val="18"/>
          <w:szCs w:val="18"/>
        </w:rPr>
        <w:t xml:space="preserve"> classification - 21.88%.</w:t>
      </w:r>
    </w:p>
    <w:p w14:paraId="33C9D4BF" w14:textId="77777777" w:rsidR="00F074C0" w:rsidRDefault="00F074C0" w:rsidP="00F074C0">
      <w:pPr>
        <w:pStyle w:val="3"/>
        <w:spacing w:before="74"/>
        <w:jc w:val="both"/>
        <w:rPr>
          <w:rFonts w:ascii="Tw Cen MT" w:eastAsia="Tw Cen MT" w:hAnsi="Tw Cen MT" w:cs="Tw Cen MT"/>
          <w:b w:val="0"/>
          <w:bCs w:val="0"/>
          <w:sz w:val="18"/>
          <w:szCs w:val="18"/>
        </w:rPr>
      </w:pPr>
      <w:r w:rsidRPr="00F074C0">
        <w:rPr>
          <w:rFonts w:ascii="Tw Cen MT" w:eastAsia="Tw Cen MT" w:hAnsi="Tw Cen MT" w:cs="Tw Cen MT"/>
          <w:b w:val="0"/>
          <w:bCs w:val="0"/>
          <w:sz w:val="18"/>
          <w:szCs w:val="18"/>
        </w:rPr>
        <w:t xml:space="preserve">Conclusions. The type of the injury, ranked using the classifications of </w:t>
      </w:r>
      <w:proofErr w:type="spellStart"/>
      <w:r w:rsidRPr="00F074C0">
        <w:rPr>
          <w:rFonts w:ascii="Tw Cen MT" w:eastAsia="Tw Cen MT" w:hAnsi="Tw Cen MT" w:cs="Tw Cen MT"/>
          <w:b w:val="0"/>
          <w:bCs w:val="0"/>
          <w:sz w:val="18"/>
          <w:szCs w:val="18"/>
        </w:rPr>
        <w:t>AOSpine</w:t>
      </w:r>
      <w:proofErr w:type="spellEnd"/>
      <w:r w:rsidRPr="00F074C0">
        <w:rPr>
          <w:rFonts w:ascii="Tw Cen MT" w:eastAsia="Tw Cen MT" w:hAnsi="Tw Cen MT" w:cs="Tw Cen MT"/>
          <w:b w:val="0"/>
          <w:bCs w:val="0"/>
          <w:sz w:val="18"/>
          <w:szCs w:val="18"/>
        </w:rPr>
        <w:t xml:space="preserve"> and F. </w:t>
      </w:r>
      <w:proofErr w:type="spellStart"/>
      <w:r w:rsidRPr="00F074C0">
        <w:rPr>
          <w:rFonts w:ascii="Tw Cen MT" w:eastAsia="Tw Cen MT" w:hAnsi="Tw Cen MT" w:cs="Tw Cen MT"/>
          <w:b w:val="0"/>
          <w:bCs w:val="0"/>
          <w:sz w:val="18"/>
          <w:szCs w:val="18"/>
        </w:rPr>
        <w:t>Magerl</w:t>
      </w:r>
      <w:proofErr w:type="spellEnd"/>
      <w:r w:rsidRPr="00F074C0">
        <w:rPr>
          <w:rFonts w:ascii="Tw Cen MT" w:eastAsia="Tw Cen MT" w:hAnsi="Tw Cen MT" w:cs="Tw Cen MT"/>
          <w:b w:val="0"/>
          <w:bCs w:val="0"/>
          <w:sz w:val="18"/>
          <w:szCs w:val="18"/>
        </w:rPr>
        <w:t xml:space="preserve"> et al., does not allow choosing the optimal method for the treatment of traumatic lesion of the thoracolumbar junction. The use of additional predictors significantly improves the accuracy of the forecast. When applying the </w:t>
      </w:r>
      <w:proofErr w:type="spellStart"/>
      <w:r w:rsidRPr="00F074C0">
        <w:rPr>
          <w:rFonts w:ascii="Tw Cen MT" w:eastAsia="Tw Cen MT" w:hAnsi="Tw Cen MT" w:cs="Tw Cen MT"/>
          <w:b w:val="0"/>
          <w:bCs w:val="0"/>
          <w:sz w:val="18"/>
          <w:szCs w:val="18"/>
        </w:rPr>
        <w:t>AOSpine</w:t>
      </w:r>
      <w:proofErr w:type="spellEnd"/>
      <w:r w:rsidRPr="00F074C0">
        <w:rPr>
          <w:rFonts w:ascii="Tw Cen MT" w:eastAsia="Tw Cen MT" w:hAnsi="Tw Cen MT" w:cs="Tw Cen MT"/>
          <w:b w:val="0"/>
          <w:bCs w:val="0"/>
          <w:sz w:val="18"/>
          <w:szCs w:val="18"/>
        </w:rPr>
        <w:t xml:space="preserve"> classification, the best results were recorded. </w:t>
      </w:r>
    </w:p>
    <w:p w14:paraId="3051BBC3" w14:textId="6134FF45" w:rsidR="00F074C0" w:rsidRDefault="00A9710C" w:rsidP="00F074C0">
      <w:pPr>
        <w:pStyle w:val="3"/>
        <w:spacing w:before="74"/>
        <w:jc w:val="center"/>
        <w:rPr>
          <w:color w:val="BF5A14"/>
        </w:rPr>
      </w:pPr>
      <w:r>
        <w:rPr>
          <w:b w:val="0"/>
        </w:rPr>
        <w:br w:type="column"/>
      </w:r>
      <w:r w:rsidR="00F074C0" w:rsidRPr="008631F4">
        <w:rPr>
          <w:rFonts w:ascii="Times New Roman" w:hAnsi="Times New Roman" w:cs="Times New Roman"/>
          <w:noProof/>
          <w:lang w:val="uk-UA"/>
        </w:rPr>
        <w:drawing>
          <wp:inline distT="0" distB="0" distL="0" distR="0" wp14:anchorId="35DFC660" wp14:editId="1F92F958">
            <wp:extent cx="3165475" cy="1479894"/>
            <wp:effectExtent l="0" t="0" r="0"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479894"/>
                    </a:xfrm>
                    <a:prstGeom prst="rect">
                      <a:avLst/>
                    </a:prstGeom>
                    <a:noFill/>
                    <a:ln>
                      <a:noFill/>
                    </a:ln>
                  </pic:spPr>
                </pic:pic>
              </a:graphicData>
            </a:graphic>
          </wp:inline>
        </w:drawing>
      </w:r>
    </w:p>
    <w:p w14:paraId="36B0ADAD" w14:textId="34ACF527" w:rsidR="00CA0FFA" w:rsidRDefault="00B8636A" w:rsidP="00CA0FFA">
      <w:pPr>
        <w:spacing w:line="204" w:lineRule="exact"/>
        <w:jc w:val="center"/>
        <w:rPr>
          <w:noProof/>
          <w:sz w:val="18"/>
          <w:szCs w:val="18"/>
        </w:rPr>
      </w:pPr>
      <w:r w:rsidRPr="00B8636A">
        <w:rPr>
          <w:noProof/>
          <w:sz w:val="18"/>
          <w:szCs w:val="18"/>
        </w:rPr>
        <w:t xml:space="preserve">Fig. </w:t>
      </w:r>
      <w:r>
        <w:rPr>
          <w:noProof/>
          <w:sz w:val="18"/>
          <w:szCs w:val="18"/>
        </w:rPr>
        <w:t>1</w:t>
      </w:r>
      <w:r w:rsidRPr="00B8636A">
        <w:rPr>
          <w:noProof/>
          <w:sz w:val="18"/>
          <w:szCs w:val="18"/>
        </w:rPr>
        <w:t xml:space="preserve">. </w:t>
      </w:r>
      <w:r w:rsidR="00F074C0">
        <w:rPr>
          <w:noProof/>
          <w:sz w:val="18"/>
          <w:szCs w:val="18"/>
        </w:rPr>
        <w:t>The example of decision tree of random forest model</w:t>
      </w:r>
      <w:r w:rsidRPr="00B8636A">
        <w:rPr>
          <w:noProof/>
          <w:sz w:val="18"/>
          <w:szCs w:val="18"/>
        </w:rPr>
        <w:t xml:space="preserve"> </w:t>
      </w:r>
    </w:p>
    <w:p w14:paraId="1AD717B6" w14:textId="77777777" w:rsidR="00F074C0" w:rsidRDefault="00F074C0" w:rsidP="00CA0FFA">
      <w:pPr>
        <w:spacing w:line="204" w:lineRule="exact"/>
        <w:jc w:val="center"/>
        <w:rPr>
          <w:noProof/>
          <w:sz w:val="18"/>
          <w:szCs w:val="18"/>
        </w:rPr>
      </w:pPr>
    </w:p>
    <w:p w14:paraId="1FBEDBF2" w14:textId="77777777" w:rsidR="00673C2A" w:rsidRPr="00673C2A" w:rsidRDefault="00673C2A" w:rsidP="00673C2A">
      <w:pPr>
        <w:pStyle w:val="a3"/>
        <w:numPr>
          <w:ilvl w:val="0"/>
          <w:numId w:val="3"/>
        </w:numPr>
        <w:spacing w:before="85" w:line="216" w:lineRule="exact"/>
        <w:ind w:right="138"/>
        <w:jc w:val="both"/>
        <w:rPr>
          <w:rFonts w:ascii="Calibri" w:hAnsi="Calibri"/>
        </w:rPr>
      </w:pPr>
      <w:proofErr w:type="spellStart"/>
      <w:r w:rsidRPr="00673C2A">
        <w:rPr>
          <w:rFonts w:ascii="Calibri" w:hAnsi="Calibri"/>
        </w:rPr>
        <w:t>Curfs</w:t>
      </w:r>
      <w:proofErr w:type="spellEnd"/>
      <w:r w:rsidRPr="00673C2A">
        <w:rPr>
          <w:rFonts w:ascii="Calibri" w:hAnsi="Calibri"/>
        </w:rPr>
        <w:t xml:space="preserve"> I, </w:t>
      </w:r>
      <w:proofErr w:type="spellStart"/>
      <w:r w:rsidRPr="00673C2A">
        <w:rPr>
          <w:rFonts w:ascii="Calibri" w:hAnsi="Calibri"/>
        </w:rPr>
        <w:t>Schotanus</w:t>
      </w:r>
      <w:proofErr w:type="spellEnd"/>
      <w:r w:rsidRPr="00673C2A">
        <w:rPr>
          <w:rFonts w:ascii="Calibri" w:hAnsi="Calibri"/>
        </w:rPr>
        <w:t xml:space="preserve"> M, WLW VANH, </w:t>
      </w:r>
      <w:proofErr w:type="spellStart"/>
      <w:r w:rsidRPr="00673C2A">
        <w:rPr>
          <w:rFonts w:ascii="Calibri" w:hAnsi="Calibri"/>
        </w:rPr>
        <w:t>Heijmans</w:t>
      </w:r>
      <w:proofErr w:type="spellEnd"/>
      <w:r w:rsidRPr="00673C2A">
        <w:rPr>
          <w:rFonts w:ascii="Calibri" w:hAnsi="Calibri"/>
        </w:rPr>
        <w:t xml:space="preserve"> M, RA DEB, LW VANR, et al. (2020) Reliability and Clinical Usefulness of Current Classifications in Traumatic Thoracolumbar Fractures: A Systematic Review of the Literature. International journal of spine surgery 14(6):956-969. </w:t>
      </w:r>
    </w:p>
    <w:p w14:paraId="78088C9B" w14:textId="77777777" w:rsidR="00673C2A" w:rsidRPr="00673C2A" w:rsidRDefault="00673C2A" w:rsidP="00673C2A">
      <w:pPr>
        <w:pStyle w:val="a3"/>
        <w:numPr>
          <w:ilvl w:val="0"/>
          <w:numId w:val="3"/>
        </w:numPr>
        <w:spacing w:before="85" w:line="216" w:lineRule="exact"/>
        <w:ind w:right="138"/>
        <w:jc w:val="both"/>
        <w:rPr>
          <w:rFonts w:ascii="Calibri" w:hAnsi="Calibri"/>
        </w:rPr>
      </w:pPr>
      <w:r w:rsidRPr="00673C2A">
        <w:rPr>
          <w:rFonts w:ascii="Calibri" w:hAnsi="Calibri"/>
        </w:rPr>
        <w:t xml:space="preserve">Mirza SK, Mirza AJ, Chapman JR, Anderson PA (2002) Classifications of thoracic and lumbar fractures: rationale and supporting data. J Am </w:t>
      </w:r>
      <w:proofErr w:type="spellStart"/>
      <w:r w:rsidRPr="00673C2A">
        <w:rPr>
          <w:rFonts w:ascii="Calibri" w:hAnsi="Calibri"/>
        </w:rPr>
        <w:t>Acad</w:t>
      </w:r>
      <w:proofErr w:type="spellEnd"/>
      <w:r w:rsidRPr="00673C2A">
        <w:rPr>
          <w:rFonts w:ascii="Calibri" w:hAnsi="Calibri"/>
        </w:rPr>
        <w:t xml:space="preserve"> </w:t>
      </w:r>
      <w:proofErr w:type="spellStart"/>
      <w:r w:rsidRPr="00673C2A">
        <w:rPr>
          <w:rFonts w:ascii="Calibri" w:hAnsi="Calibri"/>
        </w:rPr>
        <w:t>Orthop</w:t>
      </w:r>
      <w:proofErr w:type="spellEnd"/>
      <w:r w:rsidRPr="00673C2A">
        <w:rPr>
          <w:rFonts w:ascii="Calibri" w:hAnsi="Calibri"/>
        </w:rPr>
        <w:t xml:space="preserve"> Surg 10(5):364-377. </w:t>
      </w:r>
    </w:p>
    <w:p w14:paraId="7B071143" w14:textId="77777777" w:rsidR="00673C2A" w:rsidRPr="00673C2A" w:rsidRDefault="00673C2A" w:rsidP="00673C2A">
      <w:pPr>
        <w:pStyle w:val="a3"/>
        <w:numPr>
          <w:ilvl w:val="0"/>
          <w:numId w:val="3"/>
        </w:numPr>
        <w:spacing w:before="85" w:line="216" w:lineRule="exact"/>
        <w:ind w:right="138"/>
        <w:jc w:val="both"/>
        <w:rPr>
          <w:rFonts w:ascii="Calibri" w:hAnsi="Calibri"/>
        </w:rPr>
      </w:pPr>
      <w:r w:rsidRPr="00673C2A">
        <w:rPr>
          <w:rFonts w:ascii="Calibri" w:hAnsi="Calibri"/>
        </w:rPr>
        <w:t xml:space="preserve">Oner FC, Ramos LM, </w:t>
      </w:r>
      <w:proofErr w:type="spellStart"/>
      <w:r w:rsidRPr="00673C2A">
        <w:rPr>
          <w:rFonts w:ascii="Calibri" w:hAnsi="Calibri"/>
        </w:rPr>
        <w:t>Simmermacher</w:t>
      </w:r>
      <w:proofErr w:type="spellEnd"/>
      <w:r w:rsidRPr="00673C2A">
        <w:rPr>
          <w:rFonts w:ascii="Calibri" w:hAnsi="Calibri"/>
        </w:rPr>
        <w:t xml:space="preserve"> RK, </w:t>
      </w:r>
      <w:proofErr w:type="spellStart"/>
      <w:r w:rsidRPr="00673C2A">
        <w:rPr>
          <w:rFonts w:ascii="Calibri" w:hAnsi="Calibri"/>
        </w:rPr>
        <w:t>Kingma</w:t>
      </w:r>
      <w:proofErr w:type="spellEnd"/>
      <w:r w:rsidRPr="00673C2A">
        <w:rPr>
          <w:rFonts w:ascii="Calibri" w:hAnsi="Calibri"/>
        </w:rPr>
        <w:t xml:space="preserve"> PT, </w:t>
      </w:r>
      <w:proofErr w:type="spellStart"/>
      <w:r w:rsidRPr="00673C2A">
        <w:rPr>
          <w:rFonts w:ascii="Calibri" w:hAnsi="Calibri"/>
        </w:rPr>
        <w:t>Diekerhof</w:t>
      </w:r>
      <w:proofErr w:type="spellEnd"/>
      <w:r w:rsidRPr="00673C2A">
        <w:rPr>
          <w:rFonts w:ascii="Calibri" w:hAnsi="Calibri"/>
        </w:rPr>
        <w:t xml:space="preserve"> CH, </w:t>
      </w:r>
      <w:proofErr w:type="spellStart"/>
      <w:r w:rsidRPr="00673C2A">
        <w:rPr>
          <w:rFonts w:ascii="Calibri" w:hAnsi="Calibri"/>
        </w:rPr>
        <w:t>Dhert</w:t>
      </w:r>
      <w:proofErr w:type="spellEnd"/>
      <w:r w:rsidRPr="00673C2A">
        <w:rPr>
          <w:rFonts w:ascii="Calibri" w:hAnsi="Calibri"/>
        </w:rPr>
        <w:t xml:space="preserve"> WJ, et al. (2002) Classification of thoracic and lumbar spine fractures: problems of reproducibility. A study of 53 patients using CT and MRI. </w:t>
      </w:r>
      <w:proofErr w:type="spellStart"/>
      <w:r w:rsidRPr="00673C2A">
        <w:rPr>
          <w:rFonts w:ascii="Calibri" w:hAnsi="Calibri"/>
        </w:rPr>
        <w:t>Eur</w:t>
      </w:r>
      <w:proofErr w:type="spellEnd"/>
      <w:r w:rsidRPr="00673C2A">
        <w:rPr>
          <w:rFonts w:ascii="Calibri" w:hAnsi="Calibri"/>
        </w:rPr>
        <w:t xml:space="preserve"> Spine J 11(3):235-245. </w:t>
      </w:r>
    </w:p>
    <w:p w14:paraId="592E3A63" w14:textId="77777777" w:rsidR="00673C2A" w:rsidRPr="00673C2A" w:rsidRDefault="00673C2A" w:rsidP="00673C2A">
      <w:pPr>
        <w:pStyle w:val="a3"/>
        <w:numPr>
          <w:ilvl w:val="0"/>
          <w:numId w:val="3"/>
        </w:numPr>
        <w:spacing w:before="85" w:line="216" w:lineRule="exact"/>
        <w:ind w:right="138"/>
        <w:jc w:val="both"/>
        <w:rPr>
          <w:rFonts w:ascii="Calibri" w:hAnsi="Calibri"/>
        </w:rPr>
      </w:pPr>
      <w:proofErr w:type="spellStart"/>
      <w:r w:rsidRPr="00673C2A">
        <w:rPr>
          <w:rFonts w:ascii="Calibri" w:hAnsi="Calibri"/>
        </w:rPr>
        <w:t>Pishnamaz</w:t>
      </w:r>
      <w:proofErr w:type="spellEnd"/>
      <w:r w:rsidRPr="00673C2A">
        <w:rPr>
          <w:rFonts w:ascii="Calibri" w:hAnsi="Calibri"/>
        </w:rPr>
        <w:t xml:space="preserve"> M, </w:t>
      </w:r>
      <w:proofErr w:type="spellStart"/>
      <w:r w:rsidRPr="00673C2A">
        <w:rPr>
          <w:rFonts w:ascii="Calibri" w:hAnsi="Calibri"/>
        </w:rPr>
        <w:t>Balosu</w:t>
      </w:r>
      <w:proofErr w:type="spellEnd"/>
      <w:r w:rsidRPr="00673C2A">
        <w:rPr>
          <w:rFonts w:ascii="Calibri" w:hAnsi="Calibri"/>
        </w:rPr>
        <w:t xml:space="preserve"> S, </w:t>
      </w:r>
      <w:proofErr w:type="spellStart"/>
      <w:r w:rsidRPr="00673C2A">
        <w:rPr>
          <w:rFonts w:ascii="Calibri" w:hAnsi="Calibri"/>
        </w:rPr>
        <w:t>Curfs</w:t>
      </w:r>
      <w:proofErr w:type="spellEnd"/>
      <w:r w:rsidRPr="00673C2A">
        <w:rPr>
          <w:rFonts w:ascii="Calibri" w:hAnsi="Calibri"/>
        </w:rPr>
        <w:t xml:space="preserve"> I, </w:t>
      </w:r>
      <w:proofErr w:type="spellStart"/>
      <w:r w:rsidRPr="00673C2A">
        <w:rPr>
          <w:rFonts w:ascii="Calibri" w:hAnsi="Calibri"/>
        </w:rPr>
        <w:t>Uhing</w:t>
      </w:r>
      <w:proofErr w:type="spellEnd"/>
      <w:r w:rsidRPr="00673C2A">
        <w:rPr>
          <w:rFonts w:ascii="Calibri" w:hAnsi="Calibri"/>
        </w:rPr>
        <w:t xml:space="preserve"> D, Laubach M, Herren C, et al. (2018) Reliability and Agreement of Different Spine Fracture Classification Systems: An Independent </w:t>
      </w:r>
      <w:proofErr w:type="spellStart"/>
      <w:r w:rsidRPr="00673C2A">
        <w:rPr>
          <w:rFonts w:ascii="Calibri" w:hAnsi="Calibri"/>
        </w:rPr>
        <w:t>Intraobserver</w:t>
      </w:r>
      <w:proofErr w:type="spellEnd"/>
      <w:r w:rsidRPr="00673C2A">
        <w:rPr>
          <w:rFonts w:ascii="Calibri" w:hAnsi="Calibri"/>
        </w:rPr>
        <w:t xml:space="preserve"> and Interobserver Study. World </w:t>
      </w:r>
      <w:proofErr w:type="spellStart"/>
      <w:r w:rsidRPr="00673C2A">
        <w:rPr>
          <w:rFonts w:ascii="Calibri" w:hAnsi="Calibri"/>
        </w:rPr>
        <w:t>Neurosurg</w:t>
      </w:r>
      <w:proofErr w:type="spellEnd"/>
      <w:r w:rsidRPr="00673C2A">
        <w:rPr>
          <w:rFonts w:ascii="Calibri" w:hAnsi="Calibri"/>
        </w:rPr>
        <w:t xml:space="preserve"> </w:t>
      </w:r>
      <w:proofErr w:type="gramStart"/>
      <w:r w:rsidRPr="00673C2A">
        <w:rPr>
          <w:rFonts w:ascii="Calibri" w:hAnsi="Calibri"/>
        </w:rPr>
        <w:t>115:e</w:t>
      </w:r>
      <w:proofErr w:type="gramEnd"/>
      <w:r w:rsidRPr="00673C2A">
        <w:rPr>
          <w:rFonts w:ascii="Calibri" w:hAnsi="Calibri"/>
        </w:rPr>
        <w:t xml:space="preserve">695-e702. </w:t>
      </w:r>
    </w:p>
    <w:p w14:paraId="451AB356" w14:textId="5D82DC54" w:rsidR="00673C2A" w:rsidRPr="000B407F" w:rsidRDefault="00673C2A" w:rsidP="00673C2A">
      <w:pPr>
        <w:pStyle w:val="a3"/>
        <w:numPr>
          <w:ilvl w:val="0"/>
          <w:numId w:val="3"/>
        </w:numPr>
        <w:spacing w:before="85" w:line="216" w:lineRule="exact"/>
        <w:ind w:right="138"/>
        <w:jc w:val="both"/>
        <w:rPr>
          <w:rFonts w:ascii="Calibri" w:hAnsi="Calibri"/>
        </w:rPr>
      </w:pPr>
      <w:proofErr w:type="spellStart"/>
      <w:r w:rsidRPr="00673C2A">
        <w:rPr>
          <w:rFonts w:ascii="Calibri" w:hAnsi="Calibri"/>
        </w:rPr>
        <w:t>Verlaan</w:t>
      </w:r>
      <w:proofErr w:type="spellEnd"/>
      <w:r w:rsidRPr="00673C2A">
        <w:rPr>
          <w:rFonts w:ascii="Calibri" w:hAnsi="Calibri"/>
        </w:rPr>
        <w:t xml:space="preserve"> JJ, </w:t>
      </w:r>
      <w:proofErr w:type="spellStart"/>
      <w:r w:rsidRPr="00673C2A">
        <w:rPr>
          <w:rFonts w:ascii="Calibri" w:hAnsi="Calibri"/>
        </w:rPr>
        <w:t>Diekerhof</w:t>
      </w:r>
      <w:proofErr w:type="spellEnd"/>
      <w:r w:rsidRPr="00673C2A">
        <w:rPr>
          <w:rFonts w:ascii="Calibri" w:hAnsi="Calibri"/>
        </w:rPr>
        <w:t xml:space="preserve"> CH, </w:t>
      </w:r>
      <w:proofErr w:type="spellStart"/>
      <w:r w:rsidRPr="00673C2A">
        <w:rPr>
          <w:rFonts w:ascii="Calibri" w:hAnsi="Calibri"/>
        </w:rPr>
        <w:t>Buskens</w:t>
      </w:r>
      <w:proofErr w:type="spellEnd"/>
      <w:r w:rsidRPr="00673C2A">
        <w:rPr>
          <w:rFonts w:ascii="Calibri" w:hAnsi="Calibri"/>
        </w:rPr>
        <w:t xml:space="preserve"> E, van der Tweel I, </w:t>
      </w:r>
      <w:proofErr w:type="spellStart"/>
      <w:r w:rsidRPr="00673C2A">
        <w:rPr>
          <w:rFonts w:ascii="Calibri" w:hAnsi="Calibri"/>
        </w:rPr>
        <w:t>Verbout</w:t>
      </w:r>
      <w:proofErr w:type="spellEnd"/>
      <w:r w:rsidRPr="00673C2A">
        <w:rPr>
          <w:rFonts w:ascii="Calibri" w:hAnsi="Calibri"/>
        </w:rPr>
        <w:t xml:space="preserve"> AJ, </w:t>
      </w:r>
      <w:proofErr w:type="spellStart"/>
      <w:r w:rsidRPr="00673C2A">
        <w:rPr>
          <w:rFonts w:ascii="Calibri" w:hAnsi="Calibri"/>
        </w:rPr>
        <w:t>Dhert</w:t>
      </w:r>
      <w:proofErr w:type="spellEnd"/>
      <w:r w:rsidRPr="00673C2A">
        <w:rPr>
          <w:rFonts w:ascii="Calibri" w:hAnsi="Calibri"/>
        </w:rPr>
        <w:t xml:space="preserve"> WJ, et al. (2004) Surgical treatment of traumatic fractures of the thoracic and lumbar spine: a systematic review of the literature on techniques, complications, and outcome. Spine (Phila Pa 1976) 29(7):803-814.</w:t>
      </w:r>
    </w:p>
    <w:p w14:paraId="3D4DC696" w14:textId="77777777" w:rsidR="00AE3E37" w:rsidRDefault="00AE3E37">
      <w:pPr>
        <w:spacing w:line="200" w:lineRule="exact"/>
        <w:jc w:val="both"/>
        <w:rPr>
          <w:rFonts w:ascii="Calibri" w:hAnsi="Calibri"/>
        </w:rPr>
      </w:pPr>
    </w:p>
    <w:p w14:paraId="5EBC827F" w14:textId="11C49326" w:rsidR="000B407F" w:rsidRDefault="000B407F">
      <w:pPr>
        <w:spacing w:line="200" w:lineRule="exact"/>
        <w:jc w:val="both"/>
        <w:rPr>
          <w:rFonts w:ascii="Calibri" w:hAnsi="Calibri"/>
        </w:rPr>
        <w:sectPr w:rsidR="000B407F">
          <w:type w:val="continuous"/>
          <w:pgSz w:w="11910" w:h="16840"/>
          <w:pgMar w:top="1740" w:right="600" w:bottom="840" w:left="620" w:header="720" w:footer="720" w:gutter="0"/>
          <w:cols w:num="2" w:space="720" w:equalWidth="0">
            <w:col w:w="5214" w:space="138"/>
            <w:col w:w="5338"/>
          </w:cols>
        </w:sectPr>
      </w:pPr>
    </w:p>
    <w:p w14:paraId="00E72100" w14:textId="77777777" w:rsidR="00AE3E37" w:rsidRPr="00A126D8" w:rsidRDefault="00AE3E37">
      <w:pPr>
        <w:pStyle w:val="a3"/>
        <w:rPr>
          <w:rFonts w:ascii="Calibri"/>
          <w:sz w:val="20"/>
        </w:rPr>
      </w:pPr>
    </w:p>
    <w:p w14:paraId="3DE9AED4"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62E6B48C" wp14:editId="47A95C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EC222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8E4CCD7" w14:textId="3470DAA9" w:rsidR="00A126D8" w:rsidRDefault="00A126D8" w:rsidP="00A126D8">
      <w:pPr>
        <w:spacing w:before="92"/>
        <w:ind w:right="4234"/>
        <w:jc w:val="center"/>
        <w:rPr>
          <w:noProof/>
        </w:rPr>
      </w:pPr>
    </w:p>
    <w:p w14:paraId="0F00E0CA" w14:textId="7CAAA040" w:rsidR="00BB3B5C" w:rsidRDefault="00630308" w:rsidP="00630308">
      <w:pPr>
        <w:spacing w:before="92"/>
        <w:ind w:right="58"/>
        <w:jc w:val="center"/>
        <w:rPr>
          <w:rFonts w:ascii="Arial"/>
          <w:color w:val="BF5A14"/>
        </w:rPr>
      </w:pPr>
      <w:r>
        <w:rPr>
          <w:noProof/>
          <w:sz w:val="14"/>
          <w:szCs w:val="14"/>
        </w:rPr>
        <w:drawing>
          <wp:inline distT="0" distB="0" distL="0" distR="0" wp14:anchorId="3DC1D2CD" wp14:editId="36E652F1">
            <wp:extent cx="972000" cy="97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2000" cy="972000"/>
                    </a:xfrm>
                    <a:prstGeom prst="rect">
                      <a:avLst/>
                    </a:prstGeom>
                    <a:noFill/>
                    <a:ln>
                      <a:noFill/>
                    </a:ln>
                  </pic:spPr>
                </pic:pic>
              </a:graphicData>
            </a:graphic>
          </wp:inline>
        </w:drawing>
      </w:r>
    </w:p>
    <w:p w14:paraId="2326780F" w14:textId="77777777" w:rsidR="00636F55" w:rsidRDefault="00636F55" w:rsidP="00404E5B">
      <w:pPr>
        <w:spacing w:before="92"/>
        <w:ind w:right="4234"/>
        <w:rPr>
          <w:rFonts w:ascii="Arial"/>
        </w:rPr>
      </w:pPr>
    </w:p>
    <w:p w14:paraId="47B045C4" w14:textId="2AF93ED7" w:rsidR="003A517C" w:rsidRDefault="00630308">
      <w:pPr>
        <w:spacing w:before="41" w:line="154" w:lineRule="exact"/>
        <w:ind w:left="213" w:right="231"/>
        <w:jc w:val="both"/>
        <w:rPr>
          <w:rFonts w:ascii="Arial"/>
          <w:sz w:val="14"/>
        </w:rPr>
      </w:pPr>
      <w:r w:rsidRPr="00630308">
        <w:rPr>
          <w:rFonts w:ascii="Arial"/>
          <w:sz w:val="14"/>
        </w:rPr>
        <w:t xml:space="preserve">Dr. Nekhlopochyn Oleksii specialized in neurosurgery and traumatology. He is a researcher at the Clinic of Spinal Neurosurgery of </w:t>
      </w:r>
      <w:proofErr w:type="spellStart"/>
      <w:r w:rsidRPr="00630308">
        <w:rPr>
          <w:rFonts w:ascii="Arial"/>
          <w:sz w:val="14"/>
        </w:rPr>
        <w:t>Romodanov</w:t>
      </w:r>
      <w:proofErr w:type="spellEnd"/>
      <w:r w:rsidRPr="00630308">
        <w:rPr>
          <w:rFonts w:ascii="Arial"/>
          <w:sz w:val="14"/>
        </w:rPr>
        <w:t xml:space="preserve"> Neurosurgery Institute of National Academy of Medical Sciences of Ukraine. The main direction of scientific activity is the development and optimization of methods of therapy for patients with traumatic spine and spinal cord injuries.</w:t>
      </w:r>
    </w:p>
    <w:p w14:paraId="29B9BCB0" w14:textId="77777777" w:rsidR="00630308" w:rsidRDefault="00630308" w:rsidP="00B3278B">
      <w:pPr>
        <w:spacing w:before="62"/>
        <w:ind w:right="-20"/>
        <w:rPr>
          <w:rFonts w:ascii="Arial"/>
          <w:sz w:val="14"/>
        </w:rPr>
      </w:pPr>
    </w:p>
    <w:p w14:paraId="6132A588" w14:textId="02DFBCC9" w:rsidR="00AE3E37" w:rsidRDefault="00A9710C" w:rsidP="00B3278B">
      <w:pPr>
        <w:spacing w:before="62"/>
        <w:ind w:right="-20"/>
        <w:rPr>
          <w:rStyle w:val="ac"/>
          <w:rFonts w:ascii="Arial"/>
          <w:sz w:val="14"/>
        </w:rPr>
      </w:pPr>
      <w:r>
        <w:rPr>
          <w:rFonts w:ascii="Arial"/>
          <w:sz w:val="14"/>
        </w:rPr>
        <w:t xml:space="preserve">Email: </w:t>
      </w:r>
      <w:hyperlink r:id="rId11" w:history="1">
        <w:r w:rsidR="00630308" w:rsidRPr="00A4596F">
          <w:rPr>
            <w:rStyle w:val="ac"/>
            <w:rFonts w:ascii="Arial"/>
            <w:sz w:val="14"/>
          </w:rPr>
          <w:t>AlexeyNS@gmail.com</w:t>
        </w:r>
      </w:hyperlink>
    </w:p>
    <w:p w14:paraId="709D0C98" w14:textId="0CE7E10E" w:rsidR="00BB3B5C" w:rsidRPr="00BB3B5C" w:rsidRDefault="00BB3B5C" w:rsidP="00B3278B">
      <w:pPr>
        <w:spacing w:before="62"/>
        <w:ind w:right="-20"/>
        <w:rPr>
          <w:rFonts w:ascii="Arial"/>
          <w:sz w:val="14"/>
          <w:szCs w:val="14"/>
        </w:rPr>
      </w:pPr>
      <w:r>
        <w:rPr>
          <w:sz w:val="14"/>
          <w:szCs w:val="14"/>
        </w:rPr>
        <w:t xml:space="preserve">Mobile </w:t>
      </w:r>
      <w:r w:rsidR="00E25135">
        <w:rPr>
          <w:sz w:val="14"/>
          <w:szCs w:val="14"/>
        </w:rPr>
        <w:t>no/</w:t>
      </w:r>
      <w:proofErr w:type="spellStart"/>
      <w:r w:rsidR="00E25135">
        <w:rPr>
          <w:sz w:val="14"/>
          <w:szCs w:val="14"/>
        </w:rPr>
        <w:t>Whatsapp</w:t>
      </w:r>
      <w:proofErr w:type="spellEnd"/>
      <w:r w:rsidR="00E25135">
        <w:rPr>
          <w:sz w:val="14"/>
          <w:szCs w:val="14"/>
        </w:rPr>
        <w:t xml:space="preserve"> no</w:t>
      </w:r>
      <w:r>
        <w:rPr>
          <w:sz w:val="14"/>
          <w:szCs w:val="14"/>
        </w:rPr>
        <w:t>:</w:t>
      </w:r>
      <w:r w:rsidR="002379B1">
        <w:rPr>
          <w:sz w:val="14"/>
          <w:szCs w:val="14"/>
        </w:rPr>
        <w:t xml:space="preserve"> </w:t>
      </w:r>
      <w:r w:rsidR="00630308">
        <w:rPr>
          <w:sz w:val="14"/>
          <w:szCs w:val="14"/>
        </w:rPr>
        <w:t>+380950330448</w:t>
      </w:r>
    </w:p>
    <w:p w14:paraId="6F054F29" w14:textId="77777777"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1E40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89BA863" w14:textId="77777777" w:rsidR="005575CD" w:rsidRDefault="005575CD" w:rsidP="00BB3B5C">
      <w:pPr>
        <w:spacing w:before="92"/>
        <w:ind w:right="4234"/>
        <w:rPr>
          <w:rFonts w:ascii="Arial"/>
          <w:color w:val="BF5A14"/>
        </w:rPr>
      </w:pPr>
    </w:p>
    <w:p w14:paraId="4CBC8E63" w14:textId="26979B09" w:rsidR="00B31823" w:rsidRPr="005575CD" w:rsidRDefault="00BB3B5C" w:rsidP="005575CD">
      <w:pPr>
        <w:spacing w:before="92"/>
        <w:ind w:right="4234"/>
        <w:rPr>
          <w:rFonts w:ascii="Arial"/>
          <w:color w:val="BF5A14"/>
        </w:rPr>
      </w:pPr>
      <w:r w:rsidRPr="00BB3B5C">
        <w:rPr>
          <w:rFonts w:ascii="Arial"/>
          <w:color w:val="BF5A14"/>
        </w:rPr>
        <w:t>Additional Details</w:t>
      </w:r>
    </w:p>
    <w:p w14:paraId="0370F78A" w14:textId="74EA364D" w:rsidR="00BB3B5C" w:rsidRPr="00766CD9" w:rsidRDefault="00BB3B5C" w:rsidP="00766CD9">
      <w:pPr>
        <w:pStyle w:val="a3"/>
        <w:spacing w:before="90" w:line="280" w:lineRule="auto"/>
        <w:ind w:left="100"/>
        <w:jc w:val="both"/>
      </w:pPr>
      <w:r w:rsidRPr="00766CD9">
        <w:t>Abstract Category:</w:t>
      </w:r>
    </w:p>
    <w:p w14:paraId="1A33A4DA" w14:textId="77777777" w:rsidR="00BB3B5C" w:rsidRDefault="00BB3B5C">
      <w:pPr>
        <w:rPr>
          <w:rFonts w:ascii="Minion Pro"/>
          <w:sz w:val="24"/>
        </w:rPr>
      </w:pPr>
    </w:p>
    <w:p w14:paraId="4A47F944" w14:textId="77777777" w:rsidR="00BB3B5C" w:rsidRDefault="00BB3B5C">
      <w:pPr>
        <w:rPr>
          <w:rFonts w:ascii="Minion Pro"/>
          <w:sz w:val="24"/>
        </w:rPr>
        <w:sectPr w:rsidR="00BB3B5C">
          <w:type w:val="continuous"/>
          <w:pgSz w:w="11910" w:h="16840"/>
          <w:pgMar w:top="1740" w:right="600" w:bottom="840" w:left="620" w:header="720" w:footer="720" w:gutter="0"/>
          <w:cols w:space="720"/>
        </w:sectPr>
      </w:pPr>
    </w:p>
    <w:p w14:paraId="73CB3251"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3217F" w14:textId="77777777" w:rsidR="00583C78" w:rsidRDefault="00583C78">
      <w:r>
        <w:separator/>
      </w:r>
    </w:p>
  </w:endnote>
  <w:endnote w:type="continuationSeparator" w:id="0">
    <w:p w14:paraId="34BEDE04" w14:textId="77777777" w:rsidR="00583C78" w:rsidRDefault="00583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0F15"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CE02F"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&#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&#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BE085" w14:textId="77777777" w:rsidR="00583C78" w:rsidRDefault="00583C78">
      <w:r>
        <w:separator/>
      </w:r>
    </w:p>
  </w:footnote>
  <w:footnote w:type="continuationSeparator" w:id="0">
    <w:p w14:paraId="288A34DC" w14:textId="77777777" w:rsidR="00583C78" w:rsidRDefault="00583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1DBC" w14:textId="11F5D2EE" w:rsidR="00AE3E37" w:rsidRDefault="006D1D8D">
    <w:pPr>
      <w:pStyle w:val="a3"/>
      <w:spacing w:line="14" w:lineRule="auto"/>
      <w:rPr>
        <w:sz w:val="20"/>
      </w:rPr>
    </w:pPr>
    <w:r>
      <w:rPr>
        <w:noProof/>
        <w:sz w:val="20"/>
      </w:rPr>
      <w:drawing>
        <wp:anchor distT="0" distB="0" distL="114300" distR="114300" simplePos="0" relativeHeight="503313000" behindDoc="1" locked="0" layoutInCell="1" allowOverlap="1" wp14:anchorId="5D86FA6D" wp14:editId="0A0C5991">
          <wp:simplePos x="0" y="0"/>
          <wp:positionH relativeFrom="margin">
            <wp:align>center</wp:align>
          </wp:positionH>
          <wp:positionV relativeFrom="paragraph">
            <wp:posOffset>-181610</wp:posOffset>
          </wp:positionV>
          <wp:extent cx="6788150" cy="881380"/>
          <wp:effectExtent l="0" t="0" r="0" b="0"/>
          <wp:wrapThrough wrapText="bothSides">
            <wp:wrapPolygon edited="0">
              <wp:start x="0" y="0"/>
              <wp:lineTo x="0" y="21009"/>
              <wp:lineTo x="21519" y="21009"/>
              <wp:lineTo x="2151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5th World Cong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2060549629">
    <w:abstractNumId w:val="0"/>
  </w:num>
  <w:num w:numId="2" w16cid:durableId="527259162">
    <w:abstractNumId w:val="1"/>
  </w:num>
  <w:num w:numId="3" w16cid:durableId="191222613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DEB"/>
    <w:rsid w:val="000579E6"/>
    <w:rsid w:val="00082E46"/>
    <w:rsid w:val="000B407F"/>
    <w:rsid w:val="000E2911"/>
    <w:rsid w:val="00125E6E"/>
    <w:rsid w:val="001263DF"/>
    <w:rsid w:val="001A2A74"/>
    <w:rsid w:val="001C2C62"/>
    <w:rsid w:val="001D105D"/>
    <w:rsid w:val="001E763C"/>
    <w:rsid w:val="00227591"/>
    <w:rsid w:val="002379B1"/>
    <w:rsid w:val="00255F0C"/>
    <w:rsid w:val="002569BE"/>
    <w:rsid w:val="00292ED9"/>
    <w:rsid w:val="002A43AB"/>
    <w:rsid w:val="002B716A"/>
    <w:rsid w:val="00314AFB"/>
    <w:rsid w:val="003A517C"/>
    <w:rsid w:val="003B0EAD"/>
    <w:rsid w:val="003B76D9"/>
    <w:rsid w:val="004020D2"/>
    <w:rsid w:val="00404E5B"/>
    <w:rsid w:val="00414F7B"/>
    <w:rsid w:val="00433E6A"/>
    <w:rsid w:val="004355DC"/>
    <w:rsid w:val="0045638E"/>
    <w:rsid w:val="004749B4"/>
    <w:rsid w:val="00494130"/>
    <w:rsid w:val="004F2622"/>
    <w:rsid w:val="004F3523"/>
    <w:rsid w:val="00535D8C"/>
    <w:rsid w:val="005526D6"/>
    <w:rsid w:val="005575CD"/>
    <w:rsid w:val="00583C78"/>
    <w:rsid w:val="00593E8C"/>
    <w:rsid w:val="005973B9"/>
    <w:rsid w:val="005B3A56"/>
    <w:rsid w:val="006060CE"/>
    <w:rsid w:val="00630308"/>
    <w:rsid w:val="0063294A"/>
    <w:rsid w:val="0063497F"/>
    <w:rsid w:val="00636F55"/>
    <w:rsid w:val="00673C2A"/>
    <w:rsid w:val="00692DFB"/>
    <w:rsid w:val="006D1D8D"/>
    <w:rsid w:val="00733CCC"/>
    <w:rsid w:val="00741A12"/>
    <w:rsid w:val="00766CD9"/>
    <w:rsid w:val="0078738A"/>
    <w:rsid w:val="007B7DFF"/>
    <w:rsid w:val="00843A57"/>
    <w:rsid w:val="00873DF0"/>
    <w:rsid w:val="008756E6"/>
    <w:rsid w:val="00894F4D"/>
    <w:rsid w:val="00903D0A"/>
    <w:rsid w:val="009A2281"/>
    <w:rsid w:val="009A690B"/>
    <w:rsid w:val="009B2D44"/>
    <w:rsid w:val="009C1181"/>
    <w:rsid w:val="00A07E82"/>
    <w:rsid w:val="00A126D8"/>
    <w:rsid w:val="00A64D0E"/>
    <w:rsid w:val="00A86C62"/>
    <w:rsid w:val="00A9710C"/>
    <w:rsid w:val="00AE1F2A"/>
    <w:rsid w:val="00AE3E37"/>
    <w:rsid w:val="00B21A57"/>
    <w:rsid w:val="00B22879"/>
    <w:rsid w:val="00B31823"/>
    <w:rsid w:val="00B3278B"/>
    <w:rsid w:val="00B6112B"/>
    <w:rsid w:val="00B8636A"/>
    <w:rsid w:val="00BB3B5C"/>
    <w:rsid w:val="00C06552"/>
    <w:rsid w:val="00C33602"/>
    <w:rsid w:val="00C83003"/>
    <w:rsid w:val="00CA0FFA"/>
    <w:rsid w:val="00CA4143"/>
    <w:rsid w:val="00CD6F55"/>
    <w:rsid w:val="00D52B23"/>
    <w:rsid w:val="00D604EE"/>
    <w:rsid w:val="00D62425"/>
    <w:rsid w:val="00DB7DF6"/>
    <w:rsid w:val="00DE3104"/>
    <w:rsid w:val="00DE50C5"/>
    <w:rsid w:val="00E25135"/>
    <w:rsid w:val="00E93162"/>
    <w:rsid w:val="00EC00A0"/>
    <w:rsid w:val="00ED4E1F"/>
    <w:rsid w:val="00F074C0"/>
    <w:rsid w:val="00F72EEA"/>
    <w:rsid w:val="00F8136A"/>
    <w:rsid w:val="00F84CAE"/>
    <w:rsid w:val="00FC1C06"/>
    <w:rsid w:val="00FC2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88C67"/>
  <w15:docId w15:val="{41219A22-32B9-43E8-B7E6-64FBB52D2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630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exeyNS@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664</Words>
  <Characters>3496</Characters>
  <Application>Microsoft Office Word</Application>
  <DocSecurity>0</DocSecurity>
  <Lines>44</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Алексей Нехлопочин</cp:lastModifiedBy>
  <cp:revision>2</cp:revision>
  <dcterms:created xsi:type="dcterms:W3CDTF">2022-06-05T20:14:00Z</dcterms:created>
  <dcterms:modified xsi:type="dcterms:W3CDTF">2022-06-05T20:14:00Z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