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32148CDF" w:rsidR="00AE3E37" w:rsidRDefault="001A2A74" w:rsidP="00494130">
      <w:pPr>
        <w:pStyle w:val="1"/>
        <w:spacing w:before="170"/>
        <w:ind w:left="0"/>
      </w:pPr>
      <w:r w:rsidRPr="001A2A74">
        <w:rPr>
          <w:color w:val="337AB7"/>
        </w:rPr>
        <w:t xml:space="preserve">Thoracolumbar junction traumatic injury: the role of crosslinks and pedicle screw insertion depth in </w:t>
      </w:r>
      <w:proofErr w:type="spellStart"/>
      <w:r w:rsidRPr="001A2A74">
        <w:rPr>
          <w:color w:val="337AB7"/>
        </w:rPr>
        <w:t>lateroflexion</w:t>
      </w:r>
      <w:proofErr w:type="spellEnd"/>
    </w:p>
    <w:p w14:paraId="174C5D13" w14:textId="3BBCEBFB" w:rsidR="004F2622" w:rsidRDefault="00DE50C5" w:rsidP="001A2A74">
      <w:pPr>
        <w:pStyle w:val="a3"/>
        <w:spacing w:before="73" w:line="198" w:lineRule="exact"/>
        <w:ind w:right="58"/>
        <w:jc w:val="both"/>
        <w:rPr>
          <w:rFonts w:ascii="Arial"/>
        </w:rPr>
      </w:pPr>
      <w:r w:rsidRPr="004F2622">
        <w:rPr>
          <w:rFonts w:ascii="Arial"/>
        </w:rPr>
        <w:t>Oleksii</w:t>
      </w:r>
      <w:r w:rsidRPr="004F2622">
        <w:rPr>
          <w:rFonts w:ascii="Arial"/>
        </w:rPr>
        <w:t xml:space="preserve"> </w:t>
      </w:r>
      <w:r>
        <w:rPr>
          <w:rFonts w:ascii="Arial"/>
        </w:rPr>
        <w:t xml:space="preserve">S. </w:t>
      </w:r>
      <w:r w:rsidR="004F2622" w:rsidRPr="004F2622">
        <w:rPr>
          <w:rFonts w:ascii="Arial"/>
        </w:rPr>
        <w:t xml:space="preserve">Nekhlopochyn, MD, PhD, Department of spinal neurosurgery, </w:t>
      </w:r>
      <w:proofErr w:type="spellStart"/>
      <w:r w:rsidR="004F2622" w:rsidRPr="004F2622">
        <w:rPr>
          <w:rFonts w:ascii="Arial"/>
        </w:rPr>
        <w:t>Romodanov</w:t>
      </w:r>
      <w:proofErr w:type="spellEnd"/>
      <w:r w:rsidR="004F2622" w:rsidRPr="004F2622">
        <w:rPr>
          <w:rFonts w:ascii="Arial"/>
        </w:rPr>
        <w:t xml:space="preserve"> Neurosurgery Institute, Kiev, Ukraine </w:t>
      </w:r>
    </w:p>
    <w:p w14:paraId="77BDEEAA" w14:textId="0B689D80" w:rsidR="00AE3E37" w:rsidRDefault="009A2281" w:rsidP="001A2A74">
      <w:pPr>
        <w:pStyle w:val="a3"/>
        <w:spacing w:before="73" w:line="198" w:lineRule="exact"/>
        <w:ind w:right="58"/>
        <w:jc w:val="both"/>
        <w:rPr>
          <w:rFonts w:ascii="Arial"/>
        </w:rPr>
      </w:pPr>
      <w:r w:rsidRPr="009A2281">
        <w:rPr>
          <w:rFonts w:ascii="Arial"/>
        </w:rPr>
        <w:t xml:space="preserve">Vadim V. </w:t>
      </w:r>
      <w:proofErr w:type="spellStart"/>
      <w:r w:rsidRPr="009A2281">
        <w:rPr>
          <w:rFonts w:ascii="Arial"/>
        </w:rPr>
        <w:t>Verbov</w:t>
      </w:r>
      <w:proofErr w:type="spellEnd"/>
      <w:r w:rsidRPr="009A2281">
        <w:rPr>
          <w:rFonts w:ascii="Arial"/>
        </w:rPr>
        <w:t xml:space="preserve">, MD, PhD; </w:t>
      </w:r>
      <w:proofErr w:type="spellStart"/>
      <w:r w:rsidRPr="009A2281">
        <w:rPr>
          <w:rFonts w:ascii="Arial"/>
        </w:rPr>
        <w:t>Iaroslav</w:t>
      </w:r>
      <w:proofErr w:type="spellEnd"/>
      <w:r w:rsidRPr="009A2281">
        <w:rPr>
          <w:rFonts w:ascii="Arial"/>
        </w:rPr>
        <w:t xml:space="preserve"> V. </w:t>
      </w:r>
      <w:proofErr w:type="spellStart"/>
      <w:r w:rsidRPr="009A2281">
        <w:rPr>
          <w:rFonts w:ascii="Arial"/>
        </w:rPr>
        <w:t>Tsymbaliuk</w:t>
      </w:r>
      <w:proofErr w:type="spellEnd"/>
      <w:r w:rsidRPr="009A2281">
        <w:rPr>
          <w:rFonts w:ascii="Arial"/>
        </w:rPr>
        <w:t>, MD, PhD</w:t>
      </w:r>
      <w:r w:rsidR="001A2A74">
        <w:rPr>
          <w:rFonts w:ascii="Arial"/>
        </w:rPr>
        <w:t>,</w:t>
      </w:r>
      <w:r w:rsidRPr="009A2281">
        <w:rPr>
          <w:rFonts w:ascii="Arial"/>
        </w:rPr>
        <w:t xml:space="preserve"> Restorative Neurosurgery Department, </w:t>
      </w:r>
      <w:proofErr w:type="spellStart"/>
      <w:r w:rsidRPr="009A2281">
        <w:rPr>
          <w:rFonts w:ascii="Arial"/>
        </w:rPr>
        <w:t>Romodanov</w:t>
      </w:r>
      <w:proofErr w:type="spellEnd"/>
      <w:r w:rsidRPr="009A2281">
        <w:rPr>
          <w:rFonts w:ascii="Arial"/>
        </w:rPr>
        <w:t xml:space="preserve"> Neurosurgery Institute, Kyiv, Ukraine</w:t>
      </w:r>
    </w:p>
    <w:p w14:paraId="476EF624" w14:textId="236E964F" w:rsidR="001A2A74" w:rsidRDefault="001A2A74" w:rsidP="001A2A74">
      <w:pPr>
        <w:pStyle w:val="a3"/>
        <w:spacing w:before="73" w:line="198" w:lineRule="exact"/>
        <w:ind w:right="58"/>
        <w:jc w:val="both"/>
        <w:rPr>
          <w:rFonts w:ascii="Arial"/>
        </w:rPr>
      </w:pPr>
      <w:bookmarkStart w:id="0" w:name="_Hlk71153028"/>
      <w:r w:rsidRPr="001A2A74">
        <w:rPr>
          <w:rFonts w:ascii="Arial"/>
        </w:rPr>
        <w:t xml:space="preserve">Michael Yu. </w:t>
      </w:r>
      <w:proofErr w:type="spellStart"/>
      <w:r w:rsidRPr="001A2A74">
        <w:rPr>
          <w:rFonts w:ascii="Arial"/>
        </w:rPr>
        <w:t>Karpinsky</w:t>
      </w:r>
      <w:bookmarkEnd w:id="0"/>
      <w:proofErr w:type="spellEnd"/>
      <w:r w:rsidRPr="009A2281">
        <w:rPr>
          <w:rFonts w:ascii="Arial"/>
        </w:rPr>
        <w:t>, MD, PhD;</w:t>
      </w:r>
      <w:r w:rsidRPr="001A2A74">
        <w:rPr>
          <w:rFonts w:ascii="Arial"/>
        </w:rPr>
        <w:t xml:space="preserve"> </w:t>
      </w:r>
      <w:bookmarkStart w:id="1" w:name="_Hlk71153184"/>
      <w:r w:rsidRPr="001A2A74">
        <w:rPr>
          <w:rFonts w:ascii="Arial"/>
        </w:rPr>
        <w:t xml:space="preserve">Oleksandr V. </w:t>
      </w:r>
      <w:proofErr w:type="spellStart"/>
      <w:r w:rsidRPr="001A2A74">
        <w:rPr>
          <w:rFonts w:ascii="Arial"/>
        </w:rPr>
        <w:t>Yaresko</w:t>
      </w:r>
      <w:bookmarkEnd w:id="1"/>
      <w:proofErr w:type="spellEnd"/>
      <w:r w:rsidRPr="009A2281">
        <w:rPr>
          <w:rFonts w:ascii="Arial"/>
        </w:rPr>
        <w:t>;</w:t>
      </w:r>
      <w:r>
        <w:rPr>
          <w:rFonts w:ascii="Arial"/>
        </w:rPr>
        <w:t xml:space="preserve"> Laboratory of biomechanics, </w:t>
      </w:r>
      <w:proofErr w:type="spellStart"/>
      <w:r w:rsidRPr="001A2A74">
        <w:rPr>
          <w:rFonts w:ascii="Arial"/>
        </w:rPr>
        <w:t>Sytenko</w:t>
      </w:r>
      <w:proofErr w:type="spellEnd"/>
      <w:r w:rsidRPr="001A2A74">
        <w:rPr>
          <w:rFonts w:ascii="Arial"/>
        </w:rPr>
        <w:t xml:space="preserve"> Institute of Spine and Joint Pathology</w:t>
      </w:r>
      <w:r>
        <w:rPr>
          <w:rFonts w:ascii="Arial"/>
        </w:rPr>
        <w:t xml:space="preserve">, </w:t>
      </w:r>
      <w:proofErr w:type="spellStart"/>
      <w:r w:rsidRPr="001A2A74">
        <w:rPr>
          <w:rFonts w:ascii="Arial"/>
        </w:rPr>
        <w:t>Kharkiv</w:t>
      </w:r>
      <w:proofErr w:type="spellEnd"/>
      <w:r w:rsidRPr="001A2A74">
        <w:rPr>
          <w:rFonts w:ascii="Arial"/>
        </w:rPr>
        <w:t>, Ukraine</w:t>
      </w:r>
    </w:p>
    <w:p w14:paraId="11AC6B8F" w14:textId="77777777" w:rsidR="001A2A74" w:rsidRPr="00DE50C5" w:rsidRDefault="001A2A74" w:rsidP="003B0EAD">
      <w:pPr>
        <w:pStyle w:val="a3"/>
        <w:spacing w:before="73" w:line="198" w:lineRule="exact"/>
        <w:ind w:right="58"/>
        <w:rPr>
          <w:rFonts w:ascii="Arial"/>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38EC8231" w14:textId="77777777" w:rsidR="000B407F" w:rsidRDefault="000B407F" w:rsidP="000B407F">
      <w:pPr>
        <w:pStyle w:val="3"/>
        <w:spacing w:before="74"/>
        <w:jc w:val="both"/>
        <w:rPr>
          <w:rFonts w:ascii="Tw Cen MT" w:eastAsia="Tw Cen MT" w:hAnsi="Tw Cen MT" w:cs="Tw Cen MT"/>
          <w:b w:val="0"/>
          <w:bCs w:val="0"/>
          <w:sz w:val="18"/>
          <w:szCs w:val="18"/>
        </w:rPr>
      </w:pPr>
    </w:p>
    <w:p w14:paraId="2439FCD8" w14:textId="77777777" w:rsidR="00D52B23" w:rsidRPr="00D52B23" w:rsidRDefault="00D52B23" w:rsidP="00D52B23">
      <w:pPr>
        <w:pStyle w:val="3"/>
        <w:spacing w:before="74"/>
        <w:jc w:val="both"/>
        <w:rPr>
          <w:rFonts w:ascii="Tw Cen MT" w:eastAsia="Tw Cen MT" w:hAnsi="Tw Cen MT" w:cs="Tw Cen MT"/>
          <w:b w:val="0"/>
          <w:bCs w:val="0"/>
          <w:sz w:val="18"/>
          <w:szCs w:val="18"/>
        </w:rPr>
      </w:pPr>
      <w:r w:rsidRPr="00D52B23">
        <w:rPr>
          <w:rFonts w:ascii="Tw Cen MT" w:eastAsia="Tw Cen MT" w:hAnsi="Tw Cen MT" w:cs="Tw Cen MT"/>
          <w:b w:val="0"/>
          <w:bCs w:val="0"/>
          <w:sz w:val="18"/>
          <w:szCs w:val="18"/>
        </w:rPr>
        <w:t xml:space="preserve">The zone of the thoracolumbar junction is the most susceptible to traumatic injuries due to anatomical and physiological features. Accordingly, the stabilization of this spine requires high reliability. Extensive clinical experience of transpedicular stabilization usage has revealed a number of factors hypothetically or actually determining the reliability of fixation. </w:t>
      </w:r>
    </w:p>
    <w:p w14:paraId="5FA59E51" w14:textId="77777777" w:rsidR="00D52B23" w:rsidRPr="00D52B23" w:rsidRDefault="00D52B23" w:rsidP="00D52B23">
      <w:pPr>
        <w:pStyle w:val="3"/>
        <w:spacing w:before="74"/>
        <w:jc w:val="both"/>
        <w:rPr>
          <w:rFonts w:ascii="Tw Cen MT" w:eastAsia="Tw Cen MT" w:hAnsi="Tw Cen MT" w:cs="Tw Cen MT"/>
          <w:b w:val="0"/>
          <w:bCs w:val="0"/>
          <w:sz w:val="18"/>
          <w:szCs w:val="18"/>
        </w:rPr>
      </w:pPr>
      <w:r w:rsidRPr="00D52B23">
        <w:rPr>
          <w:rFonts w:ascii="Tw Cen MT" w:eastAsia="Tw Cen MT" w:hAnsi="Tw Cen MT" w:cs="Tw Cen MT"/>
          <w:b w:val="0"/>
          <w:bCs w:val="0"/>
          <w:sz w:val="18"/>
          <w:szCs w:val="18"/>
        </w:rPr>
        <w:t>Objective: to study the stress-strain state of the model of the thoracolumbar spine after resection of the Th12</w:t>
      </w:r>
      <w:r w:rsidRPr="00D52B23">
        <w:rPr>
          <w:rFonts w:eastAsia="Tw Cen MT"/>
          <w:b w:val="0"/>
          <w:bCs w:val="0"/>
          <w:sz w:val="18"/>
          <w:szCs w:val="18"/>
        </w:rPr>
        <w:t>‒</w:t>
      </w:r>
      <w:r w:rsidRPr="00D52B23">
        <w:rPr>
          <w:rFonts w:ascii="Tw Cen MT" w:eastAsia="Tw Cen MT" w:hAnsi="Tw Cen MT" w:cs="Tw Cen MT"/>
          <w:b w:val="0"/>
          <w:bCs w:val="0"/>
          <w:sz w:val="18"/>
          <w:szCs w:val="18"/>
        </w:rPr>
        <w:t>L1 vertebrae with different types of transpedicular fixation under asymmetric loads (</w:t>
      </w:r>
      <w:proofErr w:type="spellStart"/>
      <w:r w:rsidRPr="00D52B23">
        <w:rPr>
          <w:rFonts w:ascii="Tw Cen MT" w:eastAsia="Tw Cen MT" w:hAnsi="Tw Cen MT" w:cs="Tw Cen MT"/>
          <w:b w:val="0"/>
          <w:bCs w:val="0"/>
          <w:sz w:val="18"/>
          <w:szCs w:val="18"/>
        </w:rPr>
        <w:t>lateroflexion</w:t>
      </w:r>
      <w:proofErr w:type="spellEnd"/>
      <w:r w:rsidRPr="00D52B23">
        <w:rPr>
          <w:rFonts w:ascii="Tw Cen MT" w:eastAsia="Tw Cen MT" w:hAnsi="Tw Cen MT" w:cs="Tw Cen MT"/>
          <w:b w:val="0"/>
          <w:bCs w:val="0"/>
          <w:sz w:val="18"/>
          <w:szCs w:val="18"/>
        </w:rPr>
        <w:t>).</w:t>
      </w:r>
    </w:p>
    <w:p w14:paraId="6FB77DF0" w14:textId="77777777" w:rsidR="00D52B23" w:rsidRPr="00D52B23" w:rsidRDefault="00D52B23" w:rsidP="00D52B23">
      <w:pPr>
        <w:pStyle w:val="3"/>
        <w:spacing w:before="74"/>
        <w:jc w:val="both"/>
        <w:rPr>
          <w:rFonts w:ascii="Tw Cen MT" w:eastAsia="Tw Cen MT" w:hAnsi="Tw Cen MT" w:cs="Tw Cen MT"/>
          <w:b w:val="0"/>
          <w:bCs w:val="0"/>
          <w:sz w:val="18"/>
          <w:szCs w:val="18"/>
        </w:rPr>
      </w:pPr>
      <w:r w:rsidRPr="00D52B23">
        <w:rPr>
          <w:rFonts w:ascii="Tw Cen MT" w:eastAsia="Tw Cen MT" w:hAnsi="Tw Cen MT" w:cs="Tw Cen MT"/>
          <w:b w:val="0"/>
          <w:bCs w:val="0"/>
          <w:sz w:val="18"/>
          <w:szCs w:val="18"/>
        </w:rPr>
        <w:t xml:space="preserve">Materials and methods. We used a mathematical finite element model to study the result of decompression-stabilizing surgery of the thoracolumbar junction. </w:t>
      </w:r>
      <w:proofErr w:type="spellStart"/>
      <w:r w:rsidRPr="00D52B23">
        <w:rPr>
          <w:rFonts w:ascii="Tw Cen MT" w:eastAsia="Tw Cen MT" w:hAnsi="Tw Cen MT" w:cs="Tw Cen MT"/>
          <w:b w:val="0"/>
          <w:bCs w:val="0"/>
          <w:sz w:val="18"/>
          <w:szCs w:val="18"/>
        </w:rPr>
        <w:t>Lateroflexion</w:t>
      </w:r>
      <w:proofErr w:type="spellEnd"/>
      <w:r w:rsidRPr="00D52B23">
        <w:rPr>
          <w:rFonts w:ascii="Tw Cen MT" w:eastAsia="Tw Cen MT" w:hAnsi="Tw Cen MT" w:cs="Tw Cen MT"/>
          <w:b w:val="0"/>
          <w:bCs w:val="0"/>
          <w:sz w:val="18"/>
          <w:szCs w:val="18"/>
        </w:rPr>
        <w:t xml:space="preserve"> was modeled by applying a load of 350 N acting from right to left on the body and facet processes of the Th9 vertebra. We studied the depth of screw insertion and the use of crosslinks.</w:t>
      </w:r>
    </w:p>
    <w:p w14:paraId="6D674B55" w14:textId="77777777" w:rsidR="00D52B23" w:rsidRPr="00D52B23" w:rsidRDefault="00D52B23" w:rsidP="00D52B23">
      <w:pPr>
        <w:pStyle w:val="3"/>
        <w:spacing w:before="74"/>
        <w:jc w:val="both"/>
        <w:rPr>
          <w:rFonts w:ascii="Tw Cen MT" w:eastAsia="Tw Cen MT" w:hAnsi="Tw Cen MT" w:cs="Tw Cen MT"/>
          <w:b w:val="0"/>
          <w:bCs w:val="0"/>
          <w:sz w:val="18"/>
          <w:szCs w:val="18"/>
        </w:rPr>
      </w:pPr>
      <w:r w:rsidRPr="00D52B23">
        <w:rPr>
          <w:rFonts w:ascii="Tw Cen MT" w:eastAsia="Tw Cen MT" w:hAnsi="Tw Cen MT" w:cs="Tw Cen MT"/>
          <w:b w:val="0"/>
          <w:bCs w:val="0"/>
          <w:sz w:val="18"/>
          <w:szCs w:val="18"/>
        </w:rPr>
        <w:t xml:space="preserve">Results. When evaluating the model without crosslinks and using </w:t>
      </w:r>
      <w:proofErr w:type="spellStart"/>
      <w:r w:rsidRPr="00D52B23">
        <w:rPr>
          <w:rFonts w:ascii="Tw Cen MT" w:eastAsia="Tw Cen MT" w:hAnsi="Tw Cen MT" w:cs="Tw Cen MT"/>
          <w:b w:val="0"/>
          <w:bCs w:val="0"/>
          <w:sz w:val="18"/>
          <w:szCs w:val="18"/>
        </w:rPr>
        <w:t>monocortical</w:t>
      </w:r>
      <w:proofErr w:type="spellEnd"/>
      <w:r w:rsidRPr="00D52B23">
        <w:rPr>
          <w:rFonts w:ascii="Tw Cen MT" w:eastAsia="Tw Cen MT" w:hAnsi="Tw Cen MT" w:cs="Tw Cen MT"/>
          <w:b w:val="0"/>
          <w:bCs w:val="0"/>
          <w:sz w:val="18"/>
          <w:szCs w:val="18"/>
        </w:rPr>
        <w:t xml:space="preserve"> pedicle screws, it was found that the maximum loading values in the Th10, Th11, L2, and L3 vertebral bodies were 3.4, 2.0, 3.5, and 8.6 MPa, respectively; and in the screws in these vertebrae - 48.4, 48.3, 23.3 and 43.5 MPa. When using </w:t>
      </w:r>
      <w:proofErr w:type="spellStart"/>
      <w:r w:rsidRPr="00D52B23">
        <w:rPr>
          <w:rFonts w:ascii="Tw Cen MT" w:eastAsia="Tw Cen MT" w:hAnsi="Tw Cen MT" w:cs="Tw Cen MT"/>
          <w:b w:val="0"/>
          <w:bCs w:val="0"/>
          <w:sz w:val="18"/>
          <w:szCs w:val="18"/>
        </w:rPr>
        <w:t>bicortical</w:t>
      </w:r>
      <w:proofErr w:type="spellEnd"/>
      <w:r w:rsidRPr="00D52B23">
        <w:rPr>
          <w:rFonts w:ascii="Tw Cen MT" w:eastAsia="Tw Cen MT" w:hAnsi="Tw Cen MT" w:cs="Tw Cen MT"/>
          <w:b w:val="0"/>
          <w:bCs w:val="0"/>
          <w:sz w:val="18"/>
          <w:szCs w:val="18"/>
        </w:rPr>
        <w:t xml:space="preserve"> screws without crosslinks - respectively 3.1, 2.5, 3.8, 9.6 MPa and 49.9, 51.9, 25.8, 44.8 MPa for bodies and screws; when using a combination of short screws and crosslinks - 3.2, 2.0, 2.6, 7.5 MPa and 47.6, 47.5, 22.6, 41.2 MPa; when using crosslinks and </w:t>
      </w:r>
      <w:proofErr w:type="spellStart"/>
      <w:r w:rsidRPr="00D52B23">
        <w:rPr>
          <w:rFonts w:ascii="Tw Cen MT" w:eastAsia="Tw Cen MT" w:hAnsi="Tw Cen MT" w:cs="Tw Cen MT"/>
          <w:b w:val="0"/>
          <w:bCs w:val="0"/>
          <w:sz w:val="18"/>
          <w:szCs w:val="18"/>
        </w:rPr>
        <w:t>bicortical</w:t>
      </w:r>
      <w:proofErr w:type="spellEnd"/>
      <w:r w:rsidRPr="00D52B23">
        <w:rPr>
          <w:rFonts w:ascii="Tw Cen MT" w:eastAsia="Tw Cen MT" w:hAnsi="Tw Cen MT" w:cs="Tw Cen MT"/>
          <w:b w:val="0"/>
          <w:bCs w:val="0"/>
          <w:sz w:val="18"/>
          <w:szCs w:val="18"/>
        </w:rPr>
        <w:t xml:space="preserve"> screws - 3.0, 2.2, 2.7, 8.8 MPa and 48.3, 49.6, 24.3, 42.5 MPa.</w:t>
      </w:r>
    </w:p>
    <w:p w14:paraId="1CB7E83B" w14:textId="77777777" w:rsidR="00D52B23" w:rsidRDefault="00D52B23" w:rsidP="00D52B23">
      <w:pPr>
        <w:pStyle w:val="3"/>
        <w:spacing w:before="74"/>
        <w:jc w:val="both"/>
        <w:rPr>
          <w:rFonts w:ascii="Tw Cen MT" w:eastAsia="Tw Cen MT" w:hAnsi="Tw Cen MT" w:cs="Tw Cen MT"/>
          <w:b w:val="0"/>
          <w:bCs w:val="0"/>
          <w:sz w:val="18"/>
          <w:szCs w:val="18"/>
        </w:rPr>
      </w:pPr>
      <w:r w:rsidRPr="00D52B23">
        <w:rPr>
          <w:rFonts w:ascii="Tw Cen MT" w:eastAsia="Tw Cen MT" w:hAnsi="Tw Cen MT" w:cs="Tw Cen MT"/>
          <w:b w:val="0"/>
          <w:bCs w:val="0"/>
          <w:sz w:val="18"/>
          <w:szCs w:val="18"/>
        </w:rPr>
        <w:t xml:space="preserve">Conclusions. In </w:t>
      </w:r>
      <w:proofErr w:type="spellStart"/>
      <w:r w:rsidRPr="00D52B23">
        <w:rPr>
          <w:rFonts w:ascii="Tw Cen MT" w:eastAsia="Tw Cen MT" w:hAnsi="Tw Cen MT" w:cs="Tw Cen MT"/>
          <w:b w:val="0"/>
          <w:bCs w:val="0"/>
          <w:sz w:val="18"/>
          <w:szCs w:val="18"/>
        </w:rPr>
        <w:t>lateroflexion</w:t>
      </w:r>
      <w:proofErr w:type="spellEnd"/>
      <w:r w:rsidRPr="00D52B23">
        <w:rPr>
          <w:rFonts w:ascii="Tw Cen MT" w:eastAsia="Tw Cen MT" w:hAnsi="Tw Cen MT" w:cs="Tw Cen MT"/>
          <w:b w:val="0"/>
          <w:bCs w:val="0"/>
          <w:sz w:val="18"/>
          <w:szCs w:val="18"/>
        </w:rPr>
        <w:t xml:space="preserve"> </w:t>
      </w:r>
      <w:proofErr w:type="spellStart"/>
      <w:r w:rsidRPr="00D52B23">
        <w:rPr>
          <w:rFonts w:ascii="Tw Cen MT" w:eastAsia="Tw Cen MT" w:hAnsi="Tw Cen MT" w:cs="Tw Cen MT"/>
          <w:b w:val="0"/>
          <w:bCs w:val="0"/>
          <w:sz w:val="18"/>
          <w:szCs w:val="18"/>
        </w:rPr>
        <w:t>monocortical</w:t>
      </w:r>
      <w:proofErr w:type="spellEnd"/>
      <w:r w:rsidRPr="00D52B23">
        <w:rPr>
          <w:rFonts w:ascii="Tw Cen MT" w:eastAsia="Tw Cen MT" w:hAnsi="Tw Cen MT" w:cs="Tw Cen MT"/>
          <w:b w:val="0"/>
          <w:bCs w:val="0"/>
          <w:sz w:val="18"/>
          <w:szCs w:val="18"/>
        </w:rPr>
        <w:t xml:space="preserve"> pedicle screws cause lower critical loading rates compared to long screws at all control points of the model. Crosslinks in combination with both short and long screws help to reduce stress levels. </w:t>
      </w:r>
    </w:p>
    <w:p w14:paraId="3C07DFDF" w14:textId="3A7CD540" w:rsidR="00AE3E37" w:rsidRDefault="00A9710C" w:rsidP="00D52B23">
      <w:pPr>
        <w:pStyle w:val="3"/>
        <w:spacing w:before="74"/>
        <w:jc w:val="center"/>
        <w:rPr>
          <w:color w:val="BF5A14"/>
        </w:rPr>
      </w:pPr>
      <w:r>
        <w:rPr>
          <w:b w:val="0"/>
        </w:rPr>
        <w:br w:type="column"/>
      </w:r>
      <w:r w:rsidR="00B8636A">
        <w:rPr>
          <w:b w:val="0"/>
          <w:noProof/>
        </w:rPr>
        <w:drawing>
          <wp:inline distT="0" distB="0" distL="0" distR="0" wp14:anchorId="4392917B" wp14:editId="2F56B374">
            <wp:extent cx="2563007" cy="1488829"/>
            <wp:effectExtent l="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4190" cy="1535987"/>
                    </a:xfrm>
                    <a:prstGeom prst="rect">
                      <a:avLst/>
                    </a:prstGeom>
                    <a:noFill/>
                    <a:ln>
                      <a:noFill/>
                    </a:ln>
                  </pic:spPr>
                </pic:pic>
              </a:graphicData>
            </a:graphic>
          </wp:inline>
        </w:drawing>
      </w:r>
    </w:p>
    <w:p w14:paraId="36B0ADAD" w14:textId="32CA5414" w:rsidR="00CA0FFA" w:rsidRDefault="00B8636A" w:rsidP="00CA0FFA">
      <w:pPr>
        <w:spacing w:line="204" w:lineRule="exact"/>
        <w:jc w:val="center"/>
        <w:rPr>
          <w:noProof/>
          <w:sz w:val="18"/>
          <w:szCs w:val="18"/>
        </w:rPr>
      </w:pPr>
      <w:r w:rsidRPr="00B8636A">
        <w:rPr>
          <w:noProof/>
          <w:sz w:val="18"/>
          <w:szCs w:val="18"/>
        </w:rPr>
        <w:t xml:space="preserve">Fig. </w:t>
      </w:r>
      <w:r>
        <w:rPr>
          <w:noProof/>
          <w:sz w:val="18"/>
          <w:szCs w:val="18"/>
        </w:rPr>
        <w:t>1</w:t>
      </w:r>
      <w:r w:rsidRPr="00B8636A">
        <w:rPr>
          <w:noProof/>
          <w:sz w:val="18"/>
          <w:szCs w:val="18"/>
        </w:rPr>
        <w:t xml:space="preserve">. The </w:t>
      </w:r>
      <w:r>
        <w:rPr>
          <w:noProof/>
          <w:sz w:val="18"/>
          <w:szCs w:val="18"/>
        </w:rPr>
        <w:t>scheme</w:t>
      </w:r>
      <w:r w:rsidRPr="00B8636A">
        <w:rPr>
          <w:noProof/>
          <w:sz w:val="18"/>
          <w:szCs w:val="18"/>
        </w:rPr>
        <w:t xml:space="preserve"> of the load and the arrangement of control points. </w:t>
      </w:r>
    </w:p>
    <w:p w14:paraId="067FF7D4" w14:textId="77777777" w:rsidR="00741A12" w:rsidRPr="00741A12" w:rsidRDefault="00741A12" w:rsidP="00741A12">
      <w:pPr>
        <w:pStyle w:val="a3"/>
        <w:numPr>
          <w:ilvl w:val="0"/>
          <w:numId w:val="3"/>
        </w:numPr>
        <w:spacing w:before="85" w:line="216" w:lineRule="exact"/>
        <w:ind w:right="138"/>
        <w:jc w:val="both"/>
        <w:rPr>
          <w:rFonts w:ascii="Calibri" w:hAnsi="Calibri"/>
        </w:rPr>
      </w:pPr>
      <w:proofErr w:type="spellStart"/>
      <w:r w:rsidRPr="00741A12">
        <w:rPr>
          <w:rFonts w:ascii="Calibri" w:hAnsi="Calibri"/>
        </w:rPr>
        <w:t>Kuklo</w:t>
      </w:r>
      <w:proofErr w:type="spellEnd"/>
      <w:r w:rsidRPr="00741A12">
        <w:rPr>
          <w:rFonts w:ascii="Calibri" w:hAnsi="Calibri"/>
        </w:rPr>
        <w:t xml:space="preserve"> TR, </w:t>
      </w:r>
      <w:proofErr w:type="spellStart"/>
      <w:r w:rsidRPr="00741A12">
        <w:rPr>
          <w:rFonts w:ascii="Calibri" w:hAnsi="Calibri"/>
        </w:rPr>
        <w:t>Dmitriev</w:t>
      </w:r>
      <w:proofErr w:type="spellEnd"/>
      <w:r w:rsidRPr="00741A12">
        <w:rPr>
          <w:rFonts w:ascii="Calibri" w:hAnsi="Calibri"/>
        </w:rPr>
        <w:t xml:space="preserve"> AE, Cardoso MJ, Lehman RA, Jr., Erickson M, et al. (2008) Biomechanical contribution of transverse connectors to segmental stability following long segment instrumentation with thoracic pedicle screws. Spine (Phila Pa 1976) 33(15</w:t>
      </w:r>
      <w:proofErr w:type="gramStart"/>
      <w:r w:rsidRPr="00741A12">
        <w:rPr>
          <w:rFonts w:ascii="Calibri" w:hAnsi="Calibri"/>
        </w:rPr>
        <w:t>):E</w:t>
      </w:r>
      <w:proofErr w:type="gramEnd"/>
      <w:r w:rsidRPr="00741A12">
        <w:rPr>
          <w:rFonts w:ascii="Calibri" w:hAnsi="Calibri"/>
        </w:rPr>
        <w:t xml:space="preserve">482-487. </w:t>
      </w:r>
    </w:p>
    <w:p w14:paraId="7653380F" w14:textId="77777777" w:rsidR="00741A12" w:rsidRPr="00741A12" w:rsidRDefault="00741A12" w:rsidP="00741A12">
      <w:pPr>
        <w:pStyle w:val="a3"/>
        <w:numPr>
          <w:ilvl w:val="0"/>
          <w:numId w:val="3"/>
        </w:numPr>
        <w:spacing w:before="85" w:line="216" w:lineRule="exact"/>
        <w:ind w:right="138"/>
        <w:jc w:val="both"/>
        <w:rPr>
          <w:rFonts w:ascii="Calibri" w:hAnsi="Calibri"/>
        </w:rPr>
      </w:pPr>
      <w:r w:rsidRPr="00741A12">
        <w:rPr>
          <w:rFonts w:ascii="Calibri" w:hAnsi="Calibri"/>
        </w:rPr>
        <w:t xml:space="preserve">Lynn G, Mukherjee DP, Kruse RN, </w:t>
      </w:r>
      <w:proofErr w:type="spellStart"/>
      <w:r w:rsidRPr="00741A12">
        <w:rPr>
          <w:rFonts w:ascii="Calibri" w:hAnsi="Calibri"/>
        </w:rPr>
        <w:t>Sadasivan</w:t>
      </w:r>
      <w:proofErr w:type="spellEnd"/>
      <w:r w:rsidRPr="00741A12">
        <w:rPr>
          <w:rFonts w:ascii="Calibri" w:hAnsi="Calibri"/>
        </w:rPr>
        <w:t xml:space="preserve"> KK, Albright JA (1997) Mechanical stability of thoracolumbar pedicle screw fixation. The effect of crosslinks. Spine (Phila Pa 1976) 22(14):1568-1572; discussion 1573. </w:t>
      </w:r>
    </w:p>
    <w:p w14:paraId="719A928E" w14:textId="77777777" w:rsidR="00741A12" w:rsidRPr="00741A12" w:rsidRDefault="00741A12" w:rsidP="00741A12">
      <w:pPr>
        <w:pStyle w:val="a3"/>
        <w:numPr>
          <w:ilvl w:val="0"/>
          <w:numId w:val="3"/>
        </w:numPr>
        <w:spacing w:before="85" w:line="216" w:lineRule="exact"/>
        <w:ind w:right="138"/>
        <w:jc w:val="both"/>
        <w:rPr>
          <w:rFonts w:ascii="Calibri" w:hAnsi="Calibri"/>
        </w:rPr>
      </w:pPr>
      <w:r w:rsidRPr="00741A12">
        <w:rPr>
          <w:rFonts w:ascii="Calibri" w:hAnsi="Calibri"/>
        </w:rPr>
        <w:t xml:space="preserve">Mina A, Mohammed RAK.  (2018) Biomechanical Evaluation of Segmental Pedicle Screw Fixation in Thoracolumbar Fracture: A Finite Element Study. Orthopedics and Rheumatology Open Access Journal 12(3). </w:t>
      </w:r>
    </w:p>
    <w:p w14:paraId="51F53C35" w14:textId="77777777" w:rsidR="00741A12" w:rsidRPr="00741A12" w:rsidRDefault="00741A12" w:rsidP="00741A12">
      <w:pPr>
        <w:pStyle w:val="a3"/>
        <w:numPr>
          <w:ilvl w:val="0"/>
          <w:numId w:val="3"/>
        </w:numPr>
        <w:spacing w:before="85" w:line="216" w:lineRule="exact"/>
        <w:ind w:right="138"/>
        <w:jc w:val="both"/>
        <w:rPr>
          <w:rFonts w:ascii="Calibri" w:hAnsi="Calibri"/>
        </w:rPr>
      </w:pPr>
      <w:r w:rsidRPr="00741A12">
        <w:rPr>
          <w:rFonts w:ascii="Calibri" w:hAnsi="Calibri"/>
        </w:rPr>
        <w:t xml:space="preserve">Nekhlopochyn OS, </w:t>
      </w:r>
      <w:proofErr w:type="spellStart"/>
      <w:r w:rsidRPr="00741A12">
        <w:rPr>
          <w:rFonts w:ascii="Calibri" w:hAnsi="Calibri"/>
        </w:rPr>
        <w:t>Verbov</w:t>
      </w:r>
      <w:proofErr w:type="spellEnd"/>
      <w:r w:rsidRPr="00741A12">
        <w:rPr>
          <w:rFonts w:ascii="Calibri" w:hAnsi="Calibri"/>
        </w:rPr>
        <w:t xml:space="preserve"> VV, </w:t>
      </w:r>
      <w:proofErr w:type="spellStart"/>
      <w:r w:rsidRPr="00741A12">
        <w:rPr>
          <w:rFonts w:ascii="Calibri" w:hAnsi="Calibri"/>
        </w:rPr>
        <w:t>Karpinsky</w:t>
      </w:r>
      <w:proofErr w:type="spellEnd"/>
      <w:r w:rsidRPr="00741A12">
        <w:rPr>
          <w:rFonts w:ascii="Calibri" w:hAnsi="Calibri"/>
        </w:rPr>
        <w:t xml:space="preserve"> MY, </w:t>
      </w:r>
      <w:proofErr w:type="spellStart"/>
      <w:r w:rsidRPr="00741A12">
        <w:rPr>
          <w:rFonts w:ascii="Calibri" w:hAnsi="Calibri"/>
        </w:rPr>
        <w:t>Yaresko</w:t>
      </w:r>
      <w:proofErr w:type="spellEnd"/>
      <w:r w:rsidRPr="00741A12">
        <w:rPr>
          <w:rFonts w:ascii="Calibri" w:hAnsi="Calibri"/>
        </w:rPr>
        <w:t xml:space="preserve"> OV (2021) Biomechanical evaluation of the pedicle screw insertion depth and role of cross-link in thoracolumbar junction fracture surgery: a finite element study under compressive loads. Ukrainian Neurosurgical Journal 27(3):25-32. </w:t>
      </w:r>
    </w:p>
    <w:p w14:paraId="3D56ABF8" w14:textId="4813A960" w:rsidR="00741A12" w:rsidRPr="000B407F" w:rsidRDefault="00741A12" w:rsidP="00741A12">
      <w:pPr>
        <w:pStyle w:val="a3"/>
        <w:numPr>
          <w:ilvl w:val="0"/>
          <w:numId w:val="3"/>
        </w:numPr>
        <w:spacing w:before="85" w:line="216" w:lineRule="exact"/>
        <w:ind w:right="138"/>
        <w:jc w:val="both"/>
        <w:rPr>
          <w:rFonts w:ascii="Calibri" w:hAnsi="Calibri"/>
        </w:rPr>
      </w:pPr>
      <w:r w:rsidRPr="00741A12">
        <w:rPr>
          <w:rFonts w:ascii="Calibri" w:hAnsi="Calibri"/>
        </w:rPr>
        <w:t xml:space="preserve">Wang T, Cai Z, Zhao Y, Wang W, Zheng G, Wang Z, et al. (2019) The Influence of Cross-Links on Long-Segment Instrumentation Following Spinal Osteotomy: A Finite Element Analysis. World </w:t>
      </w:r>
      <w:proofErr w:type="spellStart"/>
      <w:r w:rsidRPr="00741A12">
        <w:rPr>
          <w:rFonts w:ascii="Calibri" w:hAnsi="Calibri"/>
        </w:rPr>
        <w:t>Neurosurg</w:t>
      </w:r>
      <w:proofErr w:type="spellEnd"/>
      <w:r w:rsidRPr="00741A12">
        <w:rPr>
          <w:rFonts w:ascii="Calibri" w:hAnsi="Calibri"/>
        </w:rPr>
        <w:t xml:space="preserve"> </w:t>
      </w:r>
      <w:proofErr w:type="gramStart"/>
      <w:r w:rsidRPr="00741A12">
        <w:rPr>
          <w:rFonts w:ascii="Calibri" w:hAnsi="Calibri"/>
        </w:rPr>
        <w:t>123:e</w:t>
      </w:r>
      <w:proofErr w:type="gramEnd"/>
      <w:r w:rsidRPr="00741A12">
        <w:rPr>
          <w:rFonts w:ascii="Calibri" w:hAnsi="Calibri"/>
        </w:rPr>
        <w:t>294-e302.</w:t>
      </w:r>
    </w:p>
    <w:p w14:paraId="3D4DC696" w14:textId="77777777" w:rsidR="00AE3E37" w:rsidRDefault="00AE3E37">
      <w:pPr>
        <w:spacing w:line="200" w:lineRule="exact"/>
        <w:jc w:val="both"/>
        <w:rPr>
          <w:rFonts w:ascii="Calibri" w:hAnsi="Calibri"/>
        </w:rPr>
      </w:pPr>
    </w:p>
    <w:p w14:paraId="5EBC827F" w14:textId="11C49326" w:rsidR="000B407F" w:rsidRDefault="000B407F">
      <w:pPr>
        <w:spacing w:line="200" w:lineRule="exact"/>
        <w:jc w:val="both"/>
        <w:rPr>
          <w:rFonts w:ascii="Calibri" w:hAnsi="Calibri"/>
        </w:rPr>
        <w:sectPr w:rsidR="000B407F">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a3"/>
        <w:rPr>
          <w:rFonts w:ascii="Calibri"/>
          <w:sz w:val="20"/>
        </w:rPr>
      </w:pPr>
    </w:p>
    <w:p w14:paraId="3DE9AED4"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217E6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3470DAA9" w:rsidR="00A126D8" w:rsidRDefault="00A126D8" w:rsidP="00A126D8">
      <w:pPr>
        <w:spacing w:before="92"/>
        <w:ind w:right="4234"/>
        <w:jc w:val="center"/>
        <w:rPr>
          <w:noProof/>
        </w:rPr>
      </w:pPr>
    </w:p>
    <w:p w14:paraId="0F00E0CA" w14:textId="7CAAA040" w:rsidR="00BB3B5C" w:rsidRDefault="00630308" w:rsidP="00630308">
      <w:pPr>
        <w:spacing w:before="92"/>
        <w:ind w:right="58"/>
        <w:jc w:val="center"/>
        <w:rPr>
          <w:rFonts w:ascii="Arial"/>
          <w:color w:val="BF5A14"/>
        </w:rPr>
      </w:pPr>
      <w:r>
        <w:rPr>
          <w:noProof/>
          <w:sz w:val="14"/>
          <w:szCs w:val="14"/>
        </w:rPr>
        <w:drawing>
          <wp:inline distT="0" distB="0" distL="0" distR="0" wp14:anchorId="3DC1D2CD" wp14:editId="36E652F1">
            <wp:extent cx="972000" cy="97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a:ln>
                      <a:noFill/>
                    </a:ln>
                  </pic:spPr>
                </pic:pic>
              </a:graphicData>
            </a:graphic>
          </wp:inline>
        </w:drawing>
      </w:r>
    </w:p>
    <w:p w14:paraId="2326780F" w14:textId="77777777" w:rsidR="00636F55" w:rsidRDefault="00636F55" w:rsidP="00404E5B">
      <w:pPr>
        <w:spacing w:before="92"/>
        <w:ind w:right="4234"/>
        <w:rPr>
          <w:rFonts w:ascii="Arial"/>
        </w:rPr>
      </w:pPr>
    </w:p>
    <w:p w14:paraId="47B045C4" w14:textId="2AF93ED7" w:rsidR="003A517C" w:rsidRDefault="00630308">
      <w:pPr>
        <w:spacing w:before="41" w:line="154" w:lineRule="exact"/>
        <w:ind w:left="213" w:right="231"/>
        <w:jc w:val="both"/>
        <w:rPr>
          <w:rFonts w:ascii="Arial"/>
          <w:sz w:val="14"/>
        </w:rPr>
      </w:pPr>
      <w:r w:rsidRPr="00630308">
        <w:rPr>
          <w:rFonts w:ascii="Arial"/>
          <w:sz w:val="14"/>
        </w:rPr>
        <w:t xml:space="preserve">Dr. Nekhlopochyn Oleksii specialized in neurosurgery and traumatology. He is a researcher at the Clinic of Spinal Neurosurgery of </w:t>
      </w:r>
      <w:proofErr w:type="spellStart"/>
      <w:r w:rsidRPr="00630308">
        <w:rPr>
          <w:rFonts w:ascii="Arial"/>
          <w:sz w:val="14"/>
        </w:rPr>
        <w:t>Romodanov</w:t>
      </w:r>
      <w:proofErr w:type="spellEnd"/>
      <w:r w:rsidRPr="00630308">
        <w:rPr>
          <w:rFonts w:ascii="Arial"/>
          <w:sz w:val="14"/>
        </w:rPr>
        <w:t xml:space="preserve"> Neurosurgery Institute of National Academy of Medical Sciences of Ukraine. The main direction of scientific activity is the development and optimization of methods of therapy for patients with traumatic spine and spinal cord injuries.</w:t>
      </w:r>
    </w:p>
    <w:p w14:paraId="29B9BCB0" w14:textId="77777777" w:rsidR="00630308" w:rsidRDefault="00630308" w:rsidP="00B3278B">
      <w:pPr>
        <w:spacing w:before="62"/>
        <w:ind w:right="-20"/>
        <w:rPr>
          <w:rFonts w:ascii="Arial"/>
          <w:sz w:val="14"/>
        </w:rPr>
      </w:pPr>
    </w:p>
    <w:p w14:paraId="6132A588" w14:textId="02DFBCC9" w:rsidR="00AE3E37" w:rsidRDefault="00A9710C" w:rsidP="00B3278B">
      <w:pPr>
        <w:spacing w:before="62"/>
        <w:ind w:right="-20"/>
        <w:rPr>
          <w:rStyle w:val="ac"/>
          <w:rFonts w:ascii="Arial"/>
          <w:sz w:val="14"/>
        </w:rPr>
      </w:pPr>
      <w:r>
        <w:rPr>
          <w:rFonts w:ascii="Arial"/>
          <w:sz w:val="14"/>
        </w:rPr>
        <w:t xml:space="preserve">Email: </w:t>
      </w:r>
      <w:hyperlink r:id="rId11" w:history="1">
        <w:r w:rsidR="00630308" w:rsidRPr="00A4596F">
          <w:rPr>
            <w:rStyle w:val="ac"/>
            <w:rFonts w:ascii="Arial"/>
            <w:sz w:val="14"/>
          </w:rPr>
          <w:t>AlexeyNS@gmail.com</w:t>
        </w:r>
      </w:hyperlink>
    </w:p>
    <w:p w14:paraId="709D0C98" w14:textId="0CE7E10E" w:rsidR="00BB3B5C" w:rsidRPr="00BB3B5C" w:rsidRDefault="00BB3B5C" w:rsidP="00B3278B">
      <w:pPr>
        <w:spacing w:before="62"/>
        <w:ind w:right="-20"/>
        <w:rPr>
          <w:rFonts w:ascii="Arial"/>
          <w:sz w:val="14"/>
          <w:szCs w:val="14"/>
        </w:rPr>
      </w:pPr>
      <w:r>
        <w:rPr>
          <w:sz w:val="14"/>
          <w:szCs w:val="14"/>
        </w:rPr>
        <w:t xml:space="preserve">Mobile </w:t>
      </w:r>
      <w:r w:rsidR="00E25135">
        <w:rPr>
          <w:sz w:val="14"/>
          <w:szCs w:val="14"/>
        </w:rPr>
        <w:t>no/</w:t>
      </w:r>
      <w:proofErr w:type="spellStart"/>
      <w:r w:rsidR="00E25135">
        <w:rPr>
          <w:sz w:val="14"/>
          <w:szCs w:val="14"/>
        </w:rPr>
        <w:t>Whatsapp</w:t>
      </w:r>
      <w:proofErr w:type="spellEnd"/>
      <w:r w:rsidR="00E25135">
        <w:rPr>
          <w:sz w:val="14"/>
          <w:szCs w:val="14"/>
        </w:rPr>
        <w:t xml:space="preserve"> no</w:t>
      </w:r>
      <w:r>
        <w:rPr>
          <w:sz w:val="14"/>
          <w:szCs w:val="14"/>
        </w:rPr>
        <w:t>:</w:t>
      </w:r>
      <w:r w:rsidR="002379B1">
        <w:rPr>
          <w:sz w:val="14"/>
          <w:szCs w:val="14"/>
        </w:rPr>
        <w:t xml:space="preserve"> </w:t>
      </w:r>
      <w:r w:rsidR="00630308">
        <w:rPr>
          <w:sz w:val="14"/>
          <w:szCs w:val="14"/>
        </w:rPr>
        <w:t>+380950330448</w:t>
      </w:r>
    </w:p>
    <w:p w14:paraId="6F054F29" w14:textId="77777777" w:rsidR="00AE3E37" w:rsidRDefault="00292ED9">
      <w:pPr>
        <w:pStyle w:val="a3"/>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4B89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89BA863" w14:textId="77777777" w:rsidR="005575CD" w:rsidRDefault="005575CD" w:rsidP="00BB3B5C">
      <w:pPr>
        <w:spacing w:before="92"/>
        <w:ind w:right="4234"/>
        <w:rPr>
          <w:rFonts w:ascii="Arial"/>
          <w:color w:val="BF5A14"/>
        </w:rPr>
      </w:pPr>
    </w:p>
    <w:p w14:paraId="4CBC8E63" w14:textId="26979B09" w:rsidR="00B31823" w:rsidRPr="005575CD" w:rsidRDefault="00BB3B5C" w:rsidP="005575CD">
      <w:pPr>
        <w:spacing w:before="92"/>
        <w:ind w:right="4234"/>
        <w:rPr>
          <w:rFonts w:ascii="Arial"/>
          <w:color w:val="BF5A14"/>
        </w:rPr>
      </w:pPr>
      <w:r w:rsidRPr="00BB3B5C">
        <w:rPr>
          <w:rFonts w:ascii="Arial"/>
          <w:color w:val="BF5A14"/>
        </w:rPr>
        <w:t>Additional Details</w:t>
      </w:r>
    </w:p>
    <w:p w14:paraId="0370F78A" w14:textId="74EA364D" w:rsidR="00BB3B5C" w:rsidRPr="00766CD9" w:rsidRDefault="00BB3B5C" w:rsidP="00766CD9">
      <w:pPr>
        <w:pStyle w:val="a3"/>
        <w:spacing w:before="90" w:line="280" w:lineRule="auto"/>
        <w:ind w:left="100"/>
        <w:jc w:val="both"/>
      </w:pPr>
      <w:r w:rsidRPr="00766CD9">
        <w:t>Abstract Category:</w:t>
      </w:r>
    </w:p>
    <w:p w14:paraId="1A33A4DA" w14:textId="77777777" w:rsidR="00BB3B5C" w:rsidRDefault="00BB3B5C">
      <w:pPr>
        <w:rPr>
          <w:rFonts w:ascii="Minion Pro"/>
          <w:sz w:val="24"/>
        </w:rPr>
      </w:pPr>
    </w:p>
    <w:p w14:paraId="4A47F944" w14:textId="77777777" w:rsidR="00BB3B5C" w:rsidRDefault="00BB3B5C">
      <w:pPr>
        <w:rPr>
          <w:rFonts w:ascii="Minion Pro"/>
          <w:sz w:val="24"/>
        </w:rPr>
        <w:sectPr w:rsidR="00BB3B5C">
          <w:type w:val="continuous"/>
          <w:pgSz w:w="11910" w:h="16840"/>
          <w:pgMar w:top="1740" w:right="600" w:bottom="840" w:left="620" w:header="720" w:footer="720" w:gutter="0"/>
          <w:cols w:space="720"/>
        </w:sectPr>
      </w:pPr>
    </w:p>
    <w:p w14:paraId="73CB325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3F70" w14:textId="77777777" w:rsidR="00AC14EE" w:rsidRDefault="00AC14EE">
      <w:r>
        <w:separator/>
      </w:r>
    </w:p>
  </w:endnote>
  <w:endnote w:type="continuationSeparator" w:id="0">
    <w:p w14:paraId="3CBDB6BF" w14:textId="77777777" w:rsidR="00AC14EE" w:rsidRDefault="00AC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63895" w14:textId="77777777" w:rsidR="00AC14EE" w:rsidRDefault="00AC14EE">
      <w:r>
        <w:separator/>
      </w:r>
    </w:p>
  </w:footnote>
  <w:footnote w:type="continuationSeparator" w:id="0">
    <w:p w14:paraId="5FF81BF8" w14:textId="77777777" w:rsidR="00AC14EE" w:rsidRDefault="00AC1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11F5D2EE" w:rsidR="00AE3E37" w:rsidRDefault="006D1D8D">
    <w:pPr>
      <w:pStyle w:val="a3"/>
      <w:spacing w:line="14" w:lineRule="auto"/>
      <w:rPr>
        <w:sz w:val="20"/>
      </w:rPr>
    </w:pPr>
    <w:r>
      <w:rPr>
        <w:noProof/>
        <w:sz w:val="20"/>
      </w:rPr>
      <w:drawing>
        <wp:anchor distT="0" distB="0" distL="114300" distR="114300" simplePos="0" relativeHeight="503313000" behindDoc="1" locked="0" layoutInCell="1" allowOverlap="1" wp14:anchorId="5D86FA6D" wp14:editId="0A0C5991">
          <wp:simplePos x="0" y="0"/>
          <wp:positionH relativeFrom="margin">
            <wp:align>center</wp:align>
          </wp:positionH>
          <wp:positionV relativeFrom="paragraph">
            <wp:posOffset>-181610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60549629">
    <w:abstractNumId w:val="0"/>
  </w:num>
  <w:num w:numId="2" w16cid:durableId="527259162">
    <w:abstractNumId w:val="1"/>
  </w:num>
  <w:num w:numId="3" w16cid:durableId="191222613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DEB"/>
    <w:rsid w:val="000579E6"/>
    <w:rsid w:val="00082E46"/>
    <w:rsid w:val="000B407F"/>
    <w:rsid w:val="000E2911"/>
    <w:rsid w:val="00125E6E"/>
    <w:rsid w:val="001263DF"/>
    <w:rsid w:val="001A2A74"/>
    <w:rsid w:val="001C2C62"/>
    <w:rsid w:val="001D105D"/>
    <w:rsid w:val="001E763C"/>
    <w:rsid w:val="00227591"/>
    <w:rsid w:val="002379B1"/>
    <w:rsid w:val="00255F0C"/>
    <w:rsid w:val="002569BE"/>
    <w:rsid w:val="00292ED9"/>
    <w:rsid w:val="002A43AB"/>
    <w:rsid w:val="002B716A"/>
    <w:rsid w:val="00314AFB"/>
    <w:rsid w:val="003A517C"/>
    <w:rsid w:val="003B0EAD"/>
    <w:rsid w:val="003B76D9"/>
    <w:rsid w:val="004020D2"/>
    <w:rsid w:val="00404E5B"/>
    <w:rsid w:val="00414F7B"/>
    <w:rsid w:val="00433E6A"/>
    <w:rsid w:val="004355DC"/>
    <w:rsid w:val="0045638E"/>
    <w:rsid w:val="004749B4"/>
    <w:rsid w:val="00494130"/>
    <w:rsid w:val="004F2622"/>
    <w:rsid w:val="004F3523"/>
    <w:rsid w:val="00535D8C"/>
    <w:rsid w:val="005526D6"/>
    <w:rsid w:val="005575CD"/>
    <w:rsid w:val="00593E8C"/>
    <w:rsid w:val="005973B9"/>
    <w:rsid w:val="005B3A56"/>
    <w:rsid w:val="006060CE"/>
    <w:rsid w:val="00630308"/>
    <w:rsid w:val="0063294A"/>
    <w:rsid w:val="0063497F"/>
    <w:rsid w:val="00636F55"/>
    <w:rsid w:val="00692DFB"/>
    <w:rsid w:val="006D1D8D"/>
    <w:rsid w:val="00733CCC"/>
    <w:rsid w:val="00741A12"/>
    <w:rsid w:val="00766CD9"/>
    <w:rsid w:val="0078738A"/>
    <w:rsid w:val="007B7DFF"/>
    <w:rsid w:val="00843A57"/>
    <w:rsid w:val="00873DF0"/>
    <w:rsid w:val="008756E6"/>
    <w:rsid w:val="00894F4D"/>
    <w:rsid w:val="00903D0A"/>
    <w:rsid w:val="009A2281"/>
    <w:rsid w:val="009A690B"/>
    <w:rsid w:val="009B2D44"/>
    <w:rsid w:val="009C1181"/>
    <w:rsid w:val="00A07E82"/>
    <w:rsid w:val="00A126D8"/>
    <w:rsid w:val="00A64D0E"/>
    <w:rsid w:val="00A86C62"/>
    <w:rsid w:val="00A9710C"/>
    <w:rsid w:val="00AC14EE"/>
    <w:rsid w:val="00AE1F2A"/>
    <w:rsid w:val="00AE3E37"/>
    <w:rsid w:val="00B21A57"/>
    <w:rsid w:val="00B22879"/>
    <w:rsid w:val="00B31823"/>
    <w:rsid w:val="00B3278B"/>
    <w:rsid w:val="00B6112B"/>
    <w:rsid w:val="00B8636A"/>
    <w:rsid w:val="00BB3B5C"/>
    <w:rsid w:val="00C06552"/>
    <w:rsid w:val="00C33602"/>
    <w:rsid w:val="00C83003"/>
    <w:rsid w:val="00CA0FFA"/>
    <w:rsid w:val="00CA4143"/>
    <w:rsid w:val="00CD6F55"/>
    <w:rsid w:val="00D52B23"/>
    <w:rsid w:val="00D604EE"/>
    <w:rsid w:val="00D62425"/>
    <w:rsid w:val="00DB7DF6"/>
    <w:rsid w:val="00DE3104"/>
    <w:rsid w:val="00DE50C5"/>
    <w:rsid w:val="00E25135"/>
    <w:rsid w:val="00E93162"/>
    <w:rsid w:val="00EC00A0"/>
    <w:rsid w:val="00ED4E1F"/>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88C67"/>
  <w15:docId w15:val="{41219A22-32B9-43E8-B7E6-64FBB52D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63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xeyNS@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660</Words>
  <Characters>3477</Characters>
  <Application>Microsoft Office Word</Application>
  <DocSecurity>0</DocSecurity>
  <Lines>44</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Алексей Нехлопочин</cp:lastModifiedBy>
  <cp:revision>3</cp:revision>
  <dcterms:created xsi:type="dcterms:W3CDTF">2022-06-05T19:26:00Z</dcterms:created>
  <dcterms:modified xsi:type="dcterms:W3CDTF">2022-06-05T20:00:00Z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