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4EB2B32E" w:rsidR="00AE3E37" w:rsidRDefault="00F95006" w:rsidP="00494130">
      <w:pPr>
        <w:pStyle w:val="Heading1"/>
        <w:spacing w:before="170"/>
        <w:ind w:left="0"/>
        <w:rPr>
          <w:color w:val="337AB7"/>
        </w:rPr>
      </w:pPr>
      <w:r>
        <w:rPr>
          <w:color w:val="337AB7"/>
        </w:rPr>
        <w:t>Safety and Effectiveness of Posterior Cervical Stabilization System (PCSS) as an adjunct to</w:t>
      </w:r>
      <w:r w:rsidR="00112859">
        <w:rPr>
          <w:color w:val="337AB7"/>
        </w:rPr>
        <w:t xml:space="preserve"> </w:t>
      </w:r>
      <w:r>
        <w:rPr>
          <w:color w:val="337AB7"/>
        </w:rPr>
        <w:t>posterior cervical fusion (PCF) when used in combination with ACDF in the treatment of multi-level degenerative disc disease (FUSE STUDY)</w:t>
      </w:r>
    </w:p>
    <w:p w14:paraId="5BA30DF9" w14:textId="2FEA71B1" w:rsidR="005973B9" w:rsidRDefault="0079716C" w:rsidP="00D604EE">
      <w:pPr>
        <w:pStyle w:val="BodyText"/>
        <w:spacing w:before="73" w:line="198" w:lineRule="exact"/>
        <w:ind w:right="5987"/>
        <w:rPr>
          <w:rFonts w:ascii="Arial"/>
        </w:rPr>
      </w:pPr>
      <w:r>
        <w:rPr>
          <w:rFonts w:ascii="Arial"/>
        </w:rPr>
        <w:t xml:space="preserve">Author: </w:t>
      </w:r>
      <w:r w:rsidR="00A75378">
        <w:rPr>
          <w:rFonts w:ascii="Arial"/>
        </w:rPr>
        <w:t xml:space="preserve">Dr. Bruce McCormack UCSF Clinical Faculty Department of Neurosurgery </w:t>
      </w:r>
    </w:p>
    <w:p w14:paraId="4C79D882" w14:textId="21D7ED1F" w:rsidR="00AE3E37" w:rsidRPr="0079716C" w:rsidRDefault="00AE3E37" w:rsidP="0079716C">
      <w:pPr>
        <w:pStyle w:val="BodyText"/>
        <w:spacing w:before="73" w:line="198" w:lineRule="exact"/>
        <w:ind w:right="5987"/>
        <w:rPr>
          <w:rFonts w:ascii="Arial"/>
        </w:rPr>
        <w:sectPr w:rsidR="00AE3E37" w:rsidRPr="0079716C" w:rsidSect="00CA4143">
          <w:headerReference w:type="default" r:id="rId7"/>
          <w:footerReference w:type="default" r:id="rId8"/>
          <w:type w:val="continuous"/>
          <w:pgSz w:w="11910" w:h="16840"/>
          <w:pgMar w:top="1971" w:right="600" w:bottom="840" w:left="620" w:header="541" w:footer="642" w:gutter="0"/>
          <w:cols w:space="720"/>
        </w:sectPr>
      </w:pPr>
    </w:p>
    <w:p w14:paraId="7973CAAA" w14:textId="31044D82" w:rsidR="00AE3E37" w:rsidRDefault="00A9710C" w:rsidP="0079716C">
      <w:pPr>
        <w:pStyle w:val="Heading3"/>
        <w:spacing w:before="147"/>
        <w:ind w:left="0"/>
        <w:jc w:val="both"/>
      </w:pPr>
      <w:r>
        <w:rPr>
          <w:color w:val="BF5A14"/>
        </w:rPr>
        <w:t>Abstract</w:t>
      </w:r>
      <w:r w:rsidR="00404E5B">
        <w:rPr>
          <w:color w:val="BF5A14"/>
        </w:rPr>
        <w:t xml:space="preserve"> </w:t>
      </w:r>
    </w:p>
    <w:p w14:paraId="2B32AA03" w14:textId="151904B7" w:rsidR="00B62A4E" w:rsidRDefault="00A75378" w:rsidP="0079716C">
      <w:pPr>
        <w:pStyle w:val="BodyText"/>
        <w:spacing w:before="90" w:line="280" w:lineRule="auto"/>
        <w:jc w:val="both"/>
      </w:pPr>
      <w:r>
        <w:t>Anterior cervical discectomy and fusion is the most common</w:t>
      </w:r>
      <w:r w:rsidR="0019659B">
        <w:t xml:space="preserve"> surgical</w:t>
      </w:r>
      <w:r>
        <w:t xml:space="preserve"> treatment for cervical </w:t>
      </w:r>
      <w:r w:rsidR="0019659B">
        <w:t>spondylosis</w:t>
      </w:r>
      <w:r>
        <w:t xml:space="preserve"> </w:t>
      </w:r>
      <w:r w:rsidR="0019659B">
        <w:t xml:space="preserve">with </w:t>
      </w:r>
      <w:r>
        <w:t xml:space="preserve">radiculopathy and myelopathy.  </w:t>
      </w:r>
      <w:proofErr w:type="spellStart"/>
      <w:proofErr w:type="gramStart"/>
      <w:r>
        <w:t>Non</w:t>
      </w:r>
      <w:r w:rsidR="0059357D">
        <w:t xml:space="preserve"> </w:t>
      </w:r>
      <w:r>
        <w:t>union</w:t>
      </w:r>
      <w:proofErr w:type="spellEnd"/>
      <w:proofErr w:type="gramEnd"/>
      <w:r>
        <w:t xml:space="preserve"> remains a significant problem in patients with </w:t>
      </w:r>
      <w:r w:rsidR="0016742C">
        <w:t xml:space="preserve">multilevel </w:t>
      </w:r>
      <w:r>
        <w:t>fusions, and those patients with diabetes,</w:t>
      </w:r>
      <w:r w:rsidR="00112859">
        <w:t xml:space="preserve"> poor bone quality and </w:t>
      </w:r>
      <w:r w:rsidR="00FE58E6">
        <w:t>smoker</w:t>
      </w:r>
      <w:r w:rsidR="00112859">
        <w:t xml:space="preserve">s. </w:t>
      </w:r>
      <w:r w:rsidR="0019659B">
        <w:t>Rates of pseudoarthr</w:t>
      </w:r>
      <w:r w:rsidR="00633709">
        <w:t xml:space="preserve">osis </w:t>
      </w:r>
      <w:r w:rsidR="0019659B">
        <w:t>vary from 0-20% in 1-2 level fusions to &gt; 60% in multilevel fusions.</w:t>
      </w:r>
      <w:r w:rsidR="00B6617B">
        <w:t xml:space="preserve"> </w:t>
      </w:r>
      <w:r w:rsidR="0019659B">
        <w:t xml:space="preserve">While 25-30% of those patients with </w:t>
      </w:r>
      <w:r w:rsidR="0016742C">
        <w:t>pseudo</w:t>
      </w:r>
      <w:r w:rsidR="0019659B">
        <w:t>arthrosis are asymptomatic, many require revision fusion.</w:t>
      </w:r>
      <w:r w:rsidR="00F95006">
        <w:t xml:space="preserve"> </w:t>
      </w:r>
      <w:r w:rsidR="00B6617B">
        <w:t xml:space="preserve"> </w:t>
      </w:r>
    </w:p>
    <w:p w14:paraId="7F75DF40" w14:textId="7A060FD3" w:rsidR="00B6617B" w:rsidRDefault="0019659B" w:rsidP="0079716C">
      <w:pPr>
        <w:pStyle w:val="BodyText"/>
        <w:spacing w:before="90" w:line="280" w:lineRule="auto"/>
        <w:jc w:val="both"/>
      </w:pPr>
      <w:r>
        <w:t>Dr. McCormack</w:t>
      </w:r>
      <w:r w:rsidR="00B6617B">
        <w:t xml:space="preserve"> and Providence Medical Technology</w:t>
      </w:r>
      <w:r>
        <w:t xml:space="preserve"> is conducting a</w:t>
      </w:r>
      <w:r w:rsidR="00407791">
        <w:t>n</w:t>
      </w:r>
      <w:r>
        <w:t xml:space="preserve"> FDA</w:t>
      </w:r>
      <w:r w:rsidR="00B6617B">
        <w:t xml:space="preserve"> </w:t>
      </w:r>
      <w:r w:rsidR="0059357D">
        <w:t>i</w:t>
      </w:r>
      <w:r w:rsidR="00585C92">
        <w:t xml:space="preserve">nvestigational </w:t>
      </w:r>
      <w:proofErr w:type="spellStart"/>
      <w:r w:rsidR="00585C92">
        <w:t>devise</w:t>
      </w:r>
      <w:proofErr w:type="spellEnd"/>
      <w:r w:rsidR="00585C92">
        <w:t xml:space="preserve"> exemption study</w:t>
      </w:r>
      <w:r w:rsidR="00BC2AD7">
        <w:t xml:space="preserve"> </w:t>
      </w:r>
      <w:r>
        <w:t xml:space="preserve">comparing </w:t>
      </w:r>
      <w:r w:rsidR="00234CE0">
        <w:t xml:space="preserve">outcomes of patients with </w:t>
      </w:r>
      <w:r>
        <w:t xml:space="preserve">3 level ACDF versus 3 level ACDF plus adjunctive </w:t>
      </w:r>
      <w:r w:rsidR="00B62A4E">
        <w:t xml:space="preserve">posterior cervical fusion </w:t>
      </w:r>
      <w:r w:rsidR="00F95006">
        <w:t>(PCF) using a</w:t>
      </w:r>
      <w:r w:rsidR="00B6617B">
        <w:t xml:space="preserve"> posterior</w:t>
      </w:r>
      <w:r w:rsidR="00F95006">
        <w:t xml:space="preserve"> stabilization system (PCSS)</w:t>
      </w:r>
      <w:r w:rsidR="00B6617B">
        <w:t>.  PCSS is non-segmental instrumentation</w:t>
      </w:r>
      <w:r w:rsidR="0079716C">
        <w:t xml:space="preserve"> </w:t>
      </w:r>
      <w:r w:rsidR="00B6617B">
        <w:t xml:space="preserve">with integrated screw fixation intended to provide immobilization and stabilization of spinal segments. PCSS </w:t>
      </w:r>
      <w:r w:rsidR="00941C62">
        <w:t>achieves</w:t>
      </w:r>
      <w:r w:rsidR="00B6617B">
        <w:t xml:space="preserve"> bilateral facet fixation by spanning the interspace at each level with poin</w:t>
      </w:r>
      <w:r w:rsidR="00941C62">
        <w:t>ts</w:t>
      </w:r>
      <w:r w:rsidR="00B6617B">
        <w:t xml:space="preserve"> of fixation at each end of the construct.  </w:t>
      </w:r>
    </w:p>
    <w:p w14:paraId="7DA315EE" w14:textId="10364C8E" w:rsidR="00B62A4E" w:rsidRDefault="00585C92" w:rsidP="0079716C">
      <w:pPr>
        <w:pStyle w:val="BodyText"/>
        <w:spacing w:before="90" w:line="280" w:lineRule="auto"/>
        <w:jc w:val="both"/>
      </w:pPr>
      <w:r>
        <w:t>Patients are randomly assigned to ACDF alone or a circumferential</w:t>
      </w:r>
      <w:r w:rsidR="00BC2AD7">
        <w:t xml:space="preserve"> cervical fusion (CCF).</w:t>
      </w:r>
      <w:r w:rsidR="00B6617B">
        <w:t xml:space="preserve"> </w:t>
      </w:r>
      <w:r w:rsidR="00234CE0">
        <w:t xml:space="preserve"> </w:t>
      </w:r>
      <w:r w:rsidR="0059357D">
        <w:t xml:space="preserve"> </w:t>
      </w:r>
      <w:r w:rsidR="0016742C">
        <w:t>Those patient with diabetes,</w:t>
      </w:r>
      <w:r w:rsidR="00407791">
        <w:t xml:space="preserve"> history of </w:t>
      </w:r>
      <w:r w:rsidR="0016742C">
        <w:t>tobacco</w:t>
      </w:r>
      <w:r w:rsidR="00407791">
        <w:t xml:space="preserve"> </w:t>
      </w:r>
      <w:proofErr w:type="gramStart"/>
      <w:r w:rsidR="0016742C">
        <w:t>use</w:t>
      </w:r>
      <w:proofErr w:type="gramEnd"/>
      <w:r w:rsidR="00407791">
        <w:t xml:space="preserve"> </w:t>
      </w:r>
      <w:r w:rsidR="0016742C">
        <w:t>and osteopenia are not excluded</w:t>
      </w:r>
      <w:r w:rsidR="00FE58E6">
        <w:t xml:space="preserve"> </w:t>
      </w:r>
      <w:r>
        <w:t>from enrollment</w:t>
      </w:r>
      <w:r w:rsidR="00BC2AD7">
        <w:t xml:space="preserve"> </w:t>
      </w:r>
      <w:r w:rsidR="0059357D">
        <w:t>so the study</w:t>
      </w:r>
      <w:r w:rsidR="00BC2AD7">
        <w:t xml:space="preserve"> reflect</w:t>
      </w:r>
      <w:r w:rsidR="0059357D">
        <w:t>s</w:t>
      </w:r>
      <w:r w:rsidR="00BC2AD7">
        <w:t xml:space="preserve"> real world use scenarios.  </w:t>
      </w:r>
    </w:p>
    <w:p w14:paraId="30A85A80" w14:textId="708F9FD7" w:rsidR="0059357D" w:rsidRDefault="00B62A4E" w:rsidP="0079716C">
      <w:pPr>
        <w:pStyle w:val="BodyText"/>
        <w:spacing w:before="90" w:line="280" w:lineRule="auto"/>
        <w:jc w:val="both"/>
      </w:pPr>
      <w:r>
        <w:t>The study is enrolling 3</w:t>
      </w:r>
      <w:r w:rsidR="00407791">
        <w:t>0</w:t>
      </w:r>
      <w:r>
        <w:t>0 patients at 1</w:t>
      </w:r>
      <w:r w:rsidR="00407791">
        <w:t>8</w:t>
      </w:r>
      <w:r>
        <w:t xml:space="preserve"> sites</w:t>
      </w:r>
      <w:r w:rsidR="00BC2AD7">
        <w:t xml:space="preserve"> in the United States.  </w:t>
      </w:r>
      <w:r w:rsidR="00FE58E6">
        <w:t xml:space="preserve">  </w:t>
      </w:r>
      <w:r w:rsidR="00633709">
        <w:t xml:space="preserve"> </w:t>
      </w:r>
      <w:r>
        <w:t xml:space="preserve">Primary endpoint is fusion on CT scan and </w:t>
      </w:r>
      <w:r w:rsidR="00234CE0">
        <w:t>dynamic x-ray</w:t>
      </w:r>
      <w:r>
        <w:t xml:space="preserve"> films</w:t>
      </w:r>
      <w:r w:rsidR="00FE58E6">
        <w:t xml:space="preserve"> </w:t>
      </w:r>
      <w:r>
        <w:t>at 12 months.</w:t>
      </w:r>
      <w:r w:rsidR="00BC2AD7">
        <w:t xml:space="preserve"> </w:t>
      </w:r>
      <w:r w:rsidR="00407791">
        <w:t>Non-inferiority composite sa</w:t>
      </w:r>
      <w:r w:rsidR="00BC2AD7">
        <w:t>f</w:t>
      </w:r>
      <w:r w:rsidR="00407791">
        <w:t xml:space="preserve">ety success in </w:t>
      </w:r>
      <w:r w:rsidR="00BC2AD7">
        <w:t xml:space="preserve">CCF compared to ACDF is </w:t>
      </w:r>
      <w:r w:rsidR="00234CE0">
        <w:t xml:space="preserve">determined </w:t>
      </w:r>
      <w:r w:rsidR="00BC2AD7">
        <w:t>at 24 months.</w:t>
      </w:r>
      <w:r w:rsidR="0059357D">
        <w:t xml:space="preserve"> </w:t>
      </w:r>
      <w:r w:rsidR="00BC2AD7">
        <w:t xml:space="preserve"> An individual subject is considered a success if all of the following criteria are </w:t>
      </w:r>
      <w:proofErr w:type="gramStart"/>
      <w:r w:rsidR="00BC2AD7">
        <w:t>met</w:t>
      </w:r>
      <w:r w:rsidR="00E22898">
        <w:t>:</w:t>
      </w:r>
      <w:proofErr w:type="gramEnd"/>
      <w:r w:rsidR="00BC2AD7">
        <w:t xml:space="preserve">  </w:t>
      </w:r>
      <w:r w:rsidR="0059357D">
        <w:t>a</w:t>
      </w:r>
      <w:r w:rsidR="00BC2AD7">
        <w:t xml:space="preserve">. Fusion </w:t>
      </w:r>
      <w:r w:rsidR="0059357D">
        <w:t>success</w:t>
      </w:r>
      <w:r w:rsidR="00BC2AD7">
        <w:t xml:space="preserve"> as evidence of bridging</w:t>
      </w:r>
      <w:r w:rsidR="0059357D">
        <w:t xml:space="preserve"> trabecular </w:t>
      </w:r>
      <w:r w:rsidR="00BC2AD7">
        <w:t xml:space="preserve">bone across endplates and </w:t>
      </w:r>
      <w:r w:rsidR="0059357D">
        <w:t xml:space="preserve">&lt; </w:t>
      </w:r>
      <w:r w:rsidR="00BC2AD7">
        <w:t>2</w:t>
      </w:r>
      <w:r w:rsidR="00112859">
        <w:t>°</w:t>
      </w:r>
      <w:r w:rsidR="00BC2AD7">
        <w:t xml:space="preserve"> total angular motion, b. improvement in neck disability Index (NDI), </w:t>
      </w:r>
      <w:r w:rsidR="0059357D">
        <w:t xml:space="preserve">c. </w:t>
      </w:r>
      <w:r w:rsidR="00BC2AD7">
        <w:t xml:space="preserve">improvement in neurologic function, </w:t>
      </w:r>
      <w:r w:rsidR="00234CE0">
        <w:t>d</w:t>
      </w:r>
      <w:r w:rsidR="0059357D">
        <w:t xml:space="preserve">. </w:t>
      </w:r>
      <w:r w:rsidR="00BC2AD7">
        <w:t>absence of secon</w:t>
      </w:r>
      <w:r w:rsidR="0059357D">
        <w:t>dary</w:t>
      </w:r>
      <w:r w:rsidR="00BC2AD7">
        <w:t xml:space="preserve"> surgical interventions.  </w:t>
      </w:r>
    </w:p>
    <w:p w14:paraId="0EC7E889" w14:textId="7314E9F2" w:rsidR="00FE58E6" w:rsidRDefault="00585C92" w:rsidP="0079716C">
      <w:pPr>
        <w:pStyle w:val="BodyText"/>
        <w:spacing w:before="90" w:line="280" w:lineRule="auto"/>
        <w:jc w:val="both"/>
      </w:pPr>
      <w:r>
        <w:t xml:space="preserve">For </w:t>
      </w:r>
      <w:r w:rsidR="0059357D">
        <w:t>those</w:t>
      </w:r>
      <w:r w:rsidR="00234CE0">
        <w:t xml:space="preserve"> patients with </w:t>
      </w:r>
      <w:r w:rsidR="0059357D">
        <w:t xml:space="preserve">ACDF </w:t>
      </w:r>
      <w:r w:rsidR="00234CE0">
        <w:t xml:space="preserve">and symptomatic </w:t>
      </w:r>
      <w:proofErr w:type="spellStart"/>
      <w:proofErr w:type="gramStart"/>
      <w:r w:rsidR="0059357D">
        <w:t>non union</w:t>
      </w:r>
      <w:proofErr w:type="spellEnd"/>
      <w:proofErr w:type="gramEnd"/>
      <w:r w:rsidR="0059357D">
        <w:t xml:space="preserve"> at</w:t>
      </w:r>
      <w:r>
        <w:t xml:space="preserve"> 12 months they </w:t>
      </w:r>
      <w:r w:rsidR="00112859">
        <w:t xml:space="preserve">can </w:t>
      </w:r>
      <w:r>
        <w:t>cross over to</w:t>
      </w:r>
      <w:r w:rsidR="00234CE0">
        <w:t xml:space="preserve"> </w:t>
      </w:r>
      <w:r>
        <w:t>the circumferential</w:t>
      </w:r>
      <w:r w:rsidR="0059357D">
        <w:t xml:space="preserve"> arm.  </w:t>
      </w:r>
      <w:r w:rsidR="00234CE0">
        <w:t xml:space="preserve"> </w:t>
      </w:r>
    </w:p>
    <w:p w14:paraId="6A32DAFC" w14:textId="7DB23A37" w:rsidR="00AE3E37" w:rsidRDefault="00FE58E6" w:rsidP="0079716C">
      <w:pPr>
        <w:pStyle w:val="BodyText"/>
        <w:spacing w:before="90" w:line="280" w:lineRule="auto"/>
        <w:jc w:val="both"/>
      </w:pPr>
      <w:r>
        <w:t xml:space="preserve">Dr. McCormack will discuss </w:t>
      </w:r>
      <w:r w:rsidR="00407791">
        <w:t>the study rationale</w:t>
      </w:r>
      <w:r w:rsidR="0059357D">
        <w:t>,</w:t>
      </w:r>
      <w:r w:rsidR="00407791">
        <w:t xml:space="preserve"> design and status and his personal experience</w:t>
      </w:r>
      <w:r w:rsidR="0059357D">
        <w:t xml:space="preserve"> with cervical non</w:t>
      </w:r>
      <w:r w:rsidR="00941C62">
        <w:t>-</w:t>
      </w:r>
      <w:r w:rsidR="0059357D">
        <w:t>union</w:t>
      </w:r>
      <w:r w:rsidR="00941C62">
        <w:t xml:space="preserve">.  </w:t>
      </w:r>
    </w:p>
    <w:p w14:paraId="3C07DFDF" w14:textId="77777777" w:rsidR="00AE3E37" w:rsidRDefault="00A9710C">
      <w:pPr>
        <w:pStyle w:val="Heading3"/>
        <w:spacing w:before="74"/>
      </w:pPr>
      <w:r>
        <w:rPr>
          <w:b w:val="0"/>
        </w:rPr>
        <w:br w:type="column"/>
      </w:r>
      <w:r>
        <w:rPr>
          <w:color w:val="BF5A14"/>
        </w:rPr>
        <w:t>Image</w:t>
      </w:r>
    </w:p>
    <w:p w14:paraId="15243E30" w14:textId="3C7D2349" w:rsidR="00AE3E37" w:rsidRDefault="00945D9A">
      <w:pPr>
        <w:pStyle w:val="BodyText"/>
        <w:spacing w:before="2"/>
        <w:rPr>
          <w:rFonts w:ascii="Arial"/>
          <w:b/>
          <w:sz w:val="16"/>
        </w:rPr>
      </w:pPr>
      <w:r w:rsidRPr="00B5091A">
        <w:rPr>
          <w:noProof/>
        </w:rPr>
        <w:drawing>
          <wp:inline distT="0" distB="0" distL="0" distR="0" wp14:anchorId="44D54703" wp14:editId="451223C4">
            <wp:extent cx="1150620" cy="16687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0620" cy="1668780"/>
                    </a:xfrm>
                    <a:prstGeom prst="rect">
                      <a:avLst/>
                    </a:prstGeom>
                    <a:noFill/>
                    <a:ln>
                      <a:noFill/>
                    </a:ln>
                  </pic:spPr>
                </pic:pic>
              </a:graphicData>
            </a:graphic>
          </wp:inline>
        </w:drawing>
      </w:r>
      <w:r w:rsidR="00BA2034">
        <w:rPr>
          <w:noProof/>
        </w:rPr>
        <w:drawing>
          <wp:inline distT="0" distB="0" distL="0" distR="0" wp14:anchorId="52B9AB6C" wp14:editId="27BF8675">
            <wp:extent cx="1546860" cy="140170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1983" cy="1424468"/>
                    </a:xfrm>
                    <a:prstGeom prst="rect">
                      <a:avLst/>
                    </a:prstGeom>
                    <a:noFill/>
                    <a:ln>
                      <a:noFill/>
                    </a:ln>
                  </pic:spPr>
                </pic:pic>
              </a:graphicData>
            </a:graphic>
          </wp:inline>
        </w:drawing>
      </w:r>
      <w:r w:rsidR="00BA2034" w:rsidRPr="00BA2034">
        <w:t xml:space="preserve"> </w:t>
      </w:r>
      <w:r w:rsidR="00BA2034">
        <w:rPr>
          <w:noProof/>
        </w:rPr>
        <w:drawing>
          <wp:inline distT="0" distB="0" distL="0" distR="0" wp14:anchorId="32339874" wp14:editId="34115B40">
            <wp:extent cx="1560445" cy="133350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78219" cy="1348689"/>
                    </a:xfrm>
                    <a:prstGeom prst="rect">
                      <a:avLst/>
                    </a:prstGeom>
                    <a:noFill/>
                    <a:ln>
                      <a:noFill/>
                    </a:ln>
                  </pic:spPr>
                </pic:pic>
              </a:graphicData>
            </a:graphic>
          </wp:inline>
        </w:drawing>
      </w:r>
    </w:p>
    <w:p w14:paraId="2C0B34FD" w14:textId="0156796F" w:rsidR="00601C77" w:rsidRDefault="00601C77" w:rsidP="005973B9">
      <w:pPr>
        <w:spacing w:line="204" w:lineRule="exact"/>
        <w:rPr>
          <w:rFonts w:ascii="Arial"/>
          <w:b/>
          <w:color w:val="BF5A14"/>
          <w:sz w:val="20"/>
        </w:rPr>
      </w:pPr>
    </w:p>
    <w:p w14:paraId="2A72788D" w14:textId="5602E92D" w:rsidR="005973B9" w:rsidRDefault="005973B9" w:rsidP="005973B9">
      <w:pPr>
        <w:spacing w:line="204" w:lineRule="exact"/>
        <w:rPr>
          <w:rFonts w:ascii="Arial"/>
          <w:b/>
          <w:sz w:val="20"/>
        </w:rPr>
      </w:pPr>
      <w:r>
        <w:rPr>
          <w:rFonts w:ascii="Arial"/>
          <w:b/>
          <w:color w:val="BF5A14"/>
          <w:sz w:val="20"/>
        </w:rPr>
        <w:t xml:space="preserve">Recent Publications </w:t>
      </w:r>
    </w:p>
    <w:p w14:paraId="04878D25" w14:textId="4205900C" w:rsidR="005973B9" w:rsidRDefault="00927EE4" w:rsidP="005973B9">
      <w:pPr>
        <w:pStyle w:val="ListParagraph"/>
        <w:numPr>
          <w:ilvl w:val="0"/>
          <w:numId w:val="3"/>
        </w:numPr>
        <w:tabs>
          <w:tab w:val="left" w:pos="384"/>
        </w:tabs>
        <w:spacing w:before="103" w:line="216" w:lineRule="exact"/>
        <w:ind w:right="138" w:hanging="283"/>
        <w:rPr>
          <w:sz w:val="18"/>
        </w:rPr>
      </w:pPr>
      <w:r>
        <w:rPr>
          <w:sz w:val="18"/>
        </w:rPr>
        <w:t>Leo Cheng</w:t>
      </w:r>
      <w:r w:rsidR="002B066F">
        <w:rPr>
          <w:sz w:val="18"/>
        </w:rPr>
        <w:t xml:space="preserve"> MD</w:t>
      </w:r>
      <w:r>
        <w:rPr>
          <w:sz w:val="18"/>
        </w:rPr>
        <w:t>, Bruce McCormack</w:t>
      </w:r>
      <w:r w:rsidR="002B066F">
        <w:rPr>
          <w:sz w:val="18"/>
        </w:rPr>
        <w:t xml:space="preserve"> MD</w:t>
      </w:r>
      <w:r>
        <w:rPr>
          <w:sz w:val="18"/>
        </w:rPr>
        <w:t>, Edward Eyster</w:t>
      </w:r>
      <w:r w:rsidR="002B066F">
        <w:rPr>
          <w:sz w:val="18"/>
        </w:rPr>
        <w:t xml:space="preserve"> MD</w:t>
      </w:r>
      <w:r>
        <w:rPr>
          <w:sz w:val="18"/>
        </w:rPr>
        <w:t xml:space="preserve"> </w:t>
      </w:r>
      <w:r w:rsidR="005973B9">
        <w:rPr>
          <w:sz w:val="18"/>
        </w:rPr>
        <w:t>(</w:t>
      </w:r>
      <w:r>
        <w:rPr>
          <w:sz w:val="18"/>
        </w:rPr>
        <w:t>2019</w:t>
      </w:r>
      <w:r w:rsidR="005973B9">
        <w:rPr>
          <w:sz w:val="18"/>
        </w:rPr>
        <w:t xml:space="preserve">) </w:t>
      </w:r>
      <w:r>
        <w:rPr>
          <w:sz w:val="18"/>
        </w:rPr>
        <w:t>Posterior cervical fusion utilizing cages placed bila</w:t>
      </w:r>
      <w:r w:rsidR="002B066F">
        <w:rPr>
          <w:sz w:val="18"/>
        </w:rPr>
        <w:t>terally in the facets for the treatment of the upper cervical adjacent segment disease in the elderly. Journal of Clinical Neuroscience 63 (2019) 149-154.</w:t>
      </w:r>
    </w:p>
    <w:p w14:paraId="5F3E88B3" w14:textId="065540A1" w:rsidR="005973B9" w:rsidRDefault="002B066F" w:rsidP="005973B9">
      <w:pPr>
        <w:pStyle w:val="ListParagraph"/>
        <w:numPr>
          <w:ilvl w:val="0"/>
          <w:numId w:val="3"/>
        </w:numPr>
        <w:tabs>
          <w:tab w:val="left" w:pos="384"/>
        </w:tabs>
        <w:spacing w:line="216" w:lineRule="exact"/>
        <w:ind w:right="137" w:hanging="283"/>
        <w:rPr>
          <w:sz w:val="18"/>
        </w:rPr>
      </w:pPr>
      <w:r>
        <w:rPr>
          <w:sz w:val="18"/>
        </w:rPr>
        <w:t xml:space="preserve">William Smith MD, Mark </w:t>
      </w:r>
      <w:proofErr w:type="spellStart"/>
      <w:r>
        <w:rPr>
          <w:sz w:val="18"/>
        </w:rPr>
        <w:t>Gillespy</w:t>
      </w:r>
      <w:proofErr w:type="spellEnd"/>
      <w:r>
        <w:rPr>
          <w:sz w:val="18"/>
        </w:rPr>
        <w:t xml:space="preserve"> MD, Jason Huffman MD, </w:t>
      </w:r>
      <w:proofErr w:type="spellStart"/>
      <w:r>
        <w:rPr>
          <w:sz w:val="18"/>
        </w:rPr>
        <w:t>Veasna</w:t>
      </w:r>
      <w:proofErr w:type="spellEnd"/>
      <w:r>
        <w:rPr>
          <w:sz w:val="18"/>
        </w:rPr>
        <w:t xml:space="preserve"> </w:t>
      </w:r>
      <w:proofErr w:type="spellStart"/>
      <w:r>
        <w:rPr>
          <w:sz w:val="18"/>
        </w:rPr>
        <w:t>Vong</w:t>
      </w:r>
      <w:proofErr w:type="spellEnd"/>
      <w:r>
        <w:rPr>
          <w:sz w:val="18"/>
        </w:rPr>
        <w:t xml:space="preserve"> BS, Bruce McCormack MD.  </w:t>
      </w:r>
      <w:r w:rsidR="005973B9">
        <w:rPr>
          <w:sz w:val="18"/>
        </w:rPr>
        <w:t>(2</w:t>
      </w:r>
      <w:r w:rsidR="00880309">
        <w:rPr>
          <w:sz w:val="18"/>
        </w:rPr>
        <w:t>017</w:t>
      </w:r>
      <w:r w:rsidR="005973B9">
        <w:rPr>
          <w:sz w:val="18"/>
        </w:rPr>
        <w:t xml:space="preserve">) </w:t>
      </w:r>
      <w:r w:rsidR="00880309">
        <w:rPr>
          <w:sz w:val="18"/>
        </w:rPr>
        <w:t>Anterior Cervical Pseudoarthrosis Treated with Bilateral Posterior Cervical Cages. DOI: 10.1093/</w:t>
      </w:r>
      <w:proofErr w:type="spellStart"/>
      <w:r w:rsidR="00880309">
        <w:rPr>
          <w:sz w:val="18"/>
        </w:rPr>
        <w:t>ons</w:t>
      </w:r>
      <w:proofErr w:type="spellEnd"/>
      <w:r w:rsidR="00880309">
        <w:rPr>
          <w:sz w:val="18"/>
        </w:rPr>
        <w:t>/opx103.</w:t>
      </w:r>
    </w:p>
    <w:p w14:paraId="7D0F2712" w14:textId="6C7C6CB8" w:rsidR="005973B9" w:rsidRDefault="00880309" w:rsidP="005973B9">
      <w:pPr>
        <w:pStyle w:val="ListParagraph"/>
        <w:numPr>
          <w:ilvl w:val="0"/>
          <w:numId w:val="3"/>
        </w:numPr>
        <w:tabs>
          <w:tab w:val="left" w:pos="384"/>
        </w:tabs>
        <w:spacing w:line="216" w:lineRule="exact"/>
        <w:ind w:right="138" w:hanging="283"/>
        <w:rPr>
          <w:sz w:val="18"/>
        </w:rPr>
      </w:pPr>
      <w:r>
        <w:rPr>
          <w:sz w:val="18"/>
        </w:rPr>
        <w:t>Bruce McCormack MD, Edward Eyster MD, John Chiu MD, Kris Siemionow</w:t>
      </w:r>
      <w:r w:rsidR="005973B9">
        <w:rPr>
          <w:sz w:val="18"/>
        </w:rPr>
        <w:t xml:space="preserve"> (2</w:t>
      </w:r>
      <w:r>
        <w:rPr>
          <w:sz w:val="18"/>
        </w:rPr>
        <w:t>016</w:t>
      </w:r>
      <w:r w:rsidR="005973B9">
        <w:rPr>
          <w:sz w:val="18"/>
        </w:rPr>
        <w:t>)</w:t>
      </w:r>
      <w:r>
        <w:rPr>
          <w:sz w:val="18"/>
        </w:rPr>
        <w:t xml:space="preserve"> Minimally Disruptive Posterior Cervical Fusion with DTRAX Cervical Cage for Single Level Radiculopathy – Results in 10 Patients at 1-Year.</w:t>
      </w:r>
      <w:r w:rsidR="00112859">
        <w:rPr>
          <w:sz w:val="18"/>
        </w:rPr>
        <w:t xml:space="preserve"> </w:t>
      </w:r>
      <w:proofErr w:type="spellStart"/>
      <w:r>
        <w:rPr>
          <w:sz w:val="18"/>
        </w:rPr>
        <w:t>iMedPub</w:t>
      </w:r>
      <w:proofErr w:type="spellEnd"/>
      <w:r>
        <w:rPr>
          <w:sz w:val="18"/>
        </w:rPr>
        <w:t xml:space="preserve"> Journals http://www.imedpub.com/</w:t>
      </w:r>
    </w:p>
    <w:p w14:paraId="495ADAE5" w14:textId="5D59C933" w:rsidR="005973B9" w:rsidRDefault="00C47392" w:rsidP="005973B9">
      <w:pPr>
        <w:pStyle w:val="ListParagraph"/>
        <w:numPr>
          <w:ilvl w:val="0"/>
          <w:numId w:val="3"/>
        </w:numPr>
        <w:tabs>
          <w:tab w:val="left" w:pos="384"/>
        </w:tabs>
        <w:spacing w:before="92" w:line="218" w:lineRule="exact"/>
        <w:ind w:hanging="283"/>
        <w:rPr>
          <w:sz w:val="18"/>
        </w:rPr>
      </w:pPr>
      <w:r>
        <w:rPr>
          <w:sz w:val="18"/>
        </w:rPr>
        <w:t xml:space="preserve">Krzysztof Siemionow, Pawel </w:t>
      </w:r>
      <w:proofErr w:type="spellStart"/>
      <w:r>
        <w:rPr>
          <w:sz w:val="18"/>
        </w:rPr>
        <w:t>Glowka</w:t>
      </w:r>
      <w:proofErr w:type="spellEnd"/>
      <w:r>
        <w:rPr>
          <w:sz w:val="18"/>
        </w:rPr>
        <w:t xml:space="preserve">, Robert Blok, Mark </w:t>
      </w:r>
      <w:proofErr w:type="spellStart"/>
      <w:r>
        <w:rPr>
          <w:sz w:val="18"/>
        </w:rPr>
        <w:t>Gillesp</w:t>
      </w:r>
      <w:r w:rsidR="00BA2034">
        <w:rPr>
          <w:sz w:val="18"/>
        </w:rPr>
        <w:t>y</w:t>
      </w:r>
      <w:proofErr w:type="spellEnd"/>
      <w:r>
        <w:rPr>
          <w:sz w:val="18"/>
        </w:rPr>
        <w:t xml:space="preserve">, Mukund </w:t>
      </w:r>
      <w:proofErr w:type="spellStart"/>
      <w:r>
        <w:rPr>
          <w:sz w:val="18"/>
        </w:rPr>
        <w:t>Gundanna</w:t>
      </w:r>
      <w:proofErr w:type="spellEnd"/>
      <w:r>
        <w:rPr>
          <w:sz w:val="18"/>
        </w:rPr>
        <w:t xml:space="preserve">, William Smith, </w:t>
      </w:r>
      <w:proofErr w:type="spellStart"/>
      <w:r>
        <w:rPr>
          <w:sz w:val="18"/>
        </w:rPr>
        <w:t>Zeshan</w:t>
      </w:r>
      <w:proofErr w:type="spellEnd"/>
      <w:r>
        <w:rPr>
          <w:sz w:val="18"/>
        </w:rPr>
        <w:t xml:space="preserve"> </w:t>
      </w:r>
      <w:proofErr w:type="spellStart"/>
      <w:r>
        <w:rPr>
          <w:sz w:val="18"/>
        </w:rPr>
        <w:t>Hyder</w:t>
      </w:r>
      <w:proofErr w:type="spellEnd"/>
      <w:r>
        <w:rPr>
          <w:sz w:val="18"/>
        </w:rPr>
        <w:t>, Bruce McCormack</w:t>
      </w:r>
      <w:r w:rsidR="005973B9">
        <w:rPr>
          <w:sz w:val="18"/>
        </w:rPr>
        <w:t xml:space="preserve"> (20</w:t>
      </w:r>
      <w:r>
        <w:rPr>
          <w:sz w:val="18"/>
        </w:rPr>
        <w:t>17</w:t>
      </w:r>
      <w:r w:rsidR="005973B9">
        <w:rPr>
          <w:sz w:val="18"/>
        </w:rPr>
        <w:t xml:space="preserve">) </w:t>
      </w:r>
      <w:r>
        <w:rPr>
          <w:sz w:val="18"/>
        </w:rPr>
        <w:t>Perioperative Complications in patients treated with posterior cervical fusion and bilateral cages. DOI: 10.4103/jcvjs.JCVJS_61_17.</w:t>
      </w:r>
    </w:p>
    <w:p w14:paraId="3D8C58AF" w14:textId="3347207A" w:rsidR="005973B9" w:rsidRDefault="005973B9" w:rsidP="005973B9">
      <w:pPr>
        <w:pStyle w:val="BodyText"/>
        <w:spacing w:line="218" w:lineRule="exact"/>
        <w:ind w:left="383"/>
        <w:rPr>
          <w:rFonts w:ascii="Calibri"/>
        </w:rPr>
      </w:pPr>
    </w:p>
    <w:p w14:paraId="4C331514" w14:textId="37A43DFC"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C47392">
        <w:rPr>
          <w:rFonts w:ascii="Calibri" w:hAnsi="Calibri"/>
        </w:rPr>
        <w:t xml:space="preserve">Kris Siemionow, Piotr </w:t>
      </w:r>
      <w:proofErr w:type="spellStart"/>
      <w:r w:rsidR="00C47392">
        <w:rPr>
          <w:rFonts w:ascii="Calibri" w:hAnsi="Calibri"/>
        </w:rPr>
        <w:t>Janusz</w:t>
      </w:r>
      <w:proofErr w:type="spellEnd"/>
      <w:r w:rsidR="00C47392">
        <w:rPr>
          <w:rFonts w:ascii="Calibri" w:hAnsi="Calibri"/>
        </w:rPr>
        <w:t>, Frank Phillips, Jim Youssef, Robert</w:t>
      </w:r>
      <w:r w:rsidR="00E22898">
        <w:rPr>
          <w:rFonts w:ascii="Calibri" w:hAnsi="Calibri"/>
        </w:rPr>
        <w:t xml:space="preserve"> </w:t>
      </w:r>
      <w:r w:rsidR="00C47392">
        <w:rPr>
          <w:rFonts w:ascii="Calibri" w:hAnsi="Calibri"/>
        </w:rPr>
        <w:t xml:space="preserve">Isaacs, Marcin </w:t>
      </w:r>
      <w:proofErr w:type="spellStart"/>
      <w:r w:rsidR="00C47392">
        <w:rPr>
          <w:rFonts w:ascii="Calibri" w:hAnsi="Calibri"/>
        </w:rPr>
        <w:t>Tyrakowski</w:t>
      </w:r>
      <w:proofErr w:type="spellEnd"/>
      <w:r w:rsidR="00C47392">
        <w:rPr>
          <w:rFonts w:ascii="Calibri" w:hAnsi="Calibri"/>
        </w:rPr>
        <w:t>, Bruce McCormack</w:t>
      </w:r>
      <w:r>
        <w:rPr>
          <w:rFonts w:ascii="Calibri" w:hAnsi="Calibri"/>
        </w:rPr>
        <w:t xml:space="preserve"> (2</w:t>
      </w:r>
      <w:r w:rsidR="00C47392">
        <w:rPr>
          <w:rFonts w:ascii="Calibri" w:hAnsi="Calibri"/>
        </w:rPr>
        <w:t>016</w:t>
      </w:r>
      <w:r>
        <w:rPr>
          <w:rFonts w:ascii="Calibri" w:hAnsi="Calibri"/>
        </w:rPr>
        <w:t xml:space="preserve">) </w:t>
      </w:r>
      <w:r w:rsidR="00C47392">
        <w:rPr>
          <w:rFonts w:ascii="Calibri" w:hAnsi="Calibri"/>
        </w:rPr>
        <w:t xml:space="preserve">Clinical and Radiographic Results of Indirect Decompression and Posterior Cervical Fusion for Single-level Cervical Radiculopathy Using an Expandable Implant with 2-Year Follow-Up. J Neurol Surg A </w:t>
      </w:r>
      <w:proofErr w:type="gramStart"/>
      <w:r w:rsidR="00C47392">
        <w:rPr>
          <w:rFonts w:ascii="Calibri" w:hAnsi="Calibri"/>
        </w:rPr>
        <w:t>2016;77:482</w:t>
      </w:r>
      <w:proofErr w:type="gramEnd"/>
      <w:r w:rsidR="00C47392">
        <w:rPr>
          <w:rFonts w:ascii="Calibri" w:hAnsi="Calibri"/>
        </w:rPr>
        <w:t xml:space="preserve">-488. </w:t>
      </w:r>
    </w:p>
    <w:p w14:paraId="5EBC827F"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BodyText"/>
        <w:rPr>
          <w:rFonts w:ascii="Calibri"/>
          <w:sz w:val="20"/>
        </w:rPr>
      </w:pPr>
    </w:p>
    <w:p w14:paraId="3DE9AED4" w14:textId="77777777"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7994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134AEB7F" w:rsidR="00A126D8" w:rsidRDefault="00B64DFD" w:rsidP="00A126D8">
      <w:pPr>
        <w:spacing w:before="92"/>
        <w:ind w:right="4234"/>
        <w:jc w:val="center"/>
        <w:rPr>
          <w:noProof/>
        </w:rPr>
      </w:pPr>
      <w:r>
        <w:rPr>
          <w:noProof/>
        </w:rPr>
        <w:drawing>
          <wp:anchor distT="0" distB="0" distL="114300" distR="114300" simplePos="0" relativeHeight="251659264" behindDoc="0" locked="0" layoutInCell="1" allowOverlap="1" wp14:anchorId="47603E1B" wp14:editId="634CE731">
            <wp:simplePos x="0" y="0"/>
            <wp:positionH relativeFrom="column">
              <wp:posOffset>2543810</wp:posOffset>
            </wp:positionH>
            <wp:positionV relativeFrom="paragraph">
              <wp:posOffset>213995</wp:posOffset>
            </wp:positionV>
            <wp:extent cx="972820" cy="972820"/>
            <wp:effectExtent l="0" t="0" r="0" b="0"/>
            <wp:wrapThrough wrapText="bothSides">
              <wp:wrapPolygon edited="0">
                <wp:start x="0" y="0"/>
                <wp:lineTo x="0" y="21149"/>
                <wp:lineTo x="21149" y="21149"/>
                <wp:lineTo x="2114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72820" cy="972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932089" w14:textId="75929429" w:rsidR="00A126D8" w:rsidRDefault="00A126D8" w:rsidP="00A126D8">
      <w:pPr>
        <w:spacing w:before="92"/>
        <w:ind w:right="4234"/>
        <w:rPr>
          <w:rFonts w:ascii="Arial"/>
          <w:color w:val="BF5A14"/>
        </w:rPr>
      </w:pPr>
    </w:p>
    <w:p w14:paraId="0353E5BD" w14:textId="77777777" w:rsidR="00A126D8" w:rsidRDefault="00A126D8" w:rsidP="00A126D8">
      <w:pPr>
        <w:spacing w:before="92"/>
        <w:ind w:right="4234"/>
        <w:rPr>
          <w:rFonts w:ascii="Arial"/>
          <w:color w:val="BF5A14"/>
        </w:rPr>
      </w:pPr>
    </w:p>
    <w:p w14:paraId="0F00E0CA" w14:textId="77777777" w:rsidR="00BB3B5C" w:rsidRDefault="00BB3B5C" w:rsidP="00A126D8">
      <w:pPr>
        <w:spacing w:before="92"/>
        <w:ind w:right="4234"/>
        <w:rPr>
          <w:rFonts w:ascii="Arial"/>
          <w:color w:val="BF5A14"/>
        </w:rPr>
      </w:pPr>
    </w:p>
    <w:p w14:paraId="44A13F74" w14:textId="77777777" w:rsidR="00A126D8" w:rsidRDefault="00A126D8" w:rsidP="00A126D8">
      <w:pPr>
        <w:spacing w:before="92"/>
        <w:ind w:right="4234"/>
        <w:rPr>
          <w:rFonts w:ascii="Arial"/>
          <w:color w:val="BF5A14"/>
        </w:rPr>
      </w:pPr>
    </w:p>
    <w:p w14:paraId="4AEA064F" w14:textId="77777777" w:rsidR="00BB3B5C" w:rsidRDefault="00BB3B5C" w:rsidP="00404E5B">
      <w:pPr>
        <w:spacing w:before="92"/>
        <w:ind w:right="4234"/>
        <w:rPr>
          <w:rFonts w:ascii="Arial"/>
          <w:color w:val="BF5A14"/>
        </w:rPr>
      </w:pPr>
    </w:p>
    <w:p w14:paraId="60C2AF38" w14:textId="4AA08664" w:rsidR="00AE3E37" w:rsidRDefault="00A9710C" w:rsidP="00404E5B">
      <w:pPr>
        <w:spacing w:before="92"/>
        <w:ind w:right="4234"/>
        <w:rPr>
          <w:rFonts w:ascii="Arial"/>
          <w:color w:val="BF5A14"/>
        </w:rPr>
      </w:pPr>
      <w:r>
        <w:rPr>
          <w:rFonts w:ascii="Arial"/>
          <w:color w:val="BF5A14"/>
        </w:rPr>
        <w:t>Biography</w:t>
      </w:r>
    </w:p>
    <w:p w14:paraId="080A2AAD" w14:textId="77777777" w:rsidR="00945D9A" w:rsidRDefault="00945D9A" w:rsidP="004060C8">
      <w:pPr>
        <w:rPr>
          <w:rFonts w:ascii="Arial"/>
          <w:sz w:val="14"/>
        </w:rPr>
      </w:pPr>
    </w:p>
    <w:p w14:paraId="5F46038C" w14:textId="7995EF4C" w:rsidR="00EE155D" w:rsidRPr="00EE155D" w:rsidRDefault="00A9710C" w:rsidP="004060C8">
      <w:pPr>
        <w:rPr>
          <w:rFonts w:ascii="Arial" w:hAnsi="Arial" w:cs="Arial"/>
          <w:sz w:val="14"/>
          <w:szCs w:val="14"/>
        </w:rPr>
      </w:pPr>
      <w:r>
        <w:rPr>
          <w:rFonts w:ascii="Arial"/>
          <w:sz w:val="14"/>
        </w:rPr>
        <w:t>D</w:t>
      </w:r>
      <w:r w:rsidR="0078738A">
        <w:rPr>
          <w:rFonts w:ascii="Arial"/>
          <w:sz w:val="14"/>
        </w:rPr>
        <w:t>r</w:t>
      </w:r>
      <w:r w:rsidR="00EE155D">
        <w:rPr>
          <w:rFonts w:ascii="Arial"/>
          <w:sz w:val="14"/>
        </w:rPr>
        <w:t>.</w:t>
      </w:r>
      <w:r w:rsidR="0078738A">
        <w:rPr>
          <w:rFonts w:ascii="Arial"/>
          <w:sz w:val="14"/>
        </w:rPr>
        <w:t xml:space="preserve"> </w:t>
      </w:r>
      <w:r w:rsidR="00112859">
        <w:rPr>
          <w:rFonts w:ascii="Arial"/>
          <w:sz w:val="14"/>
        </w:rPr>
        <w:t xml:space="preserve">Bruce McCormack </w:t>
      </w:r>
      <w:r w:rsidR="00EE155D">
        <w:rPr>
          <w:rFonts w:ascii="Arial"/>
          <w:sz w:val="14"/>
        </w:rPr>
        <w:t xml:space="preserve">is a neurosurgeon in San Francisco.  He </w:t>
      </w:r>
      <w:r w:rsidR="00EE155D" w:rsidRPr="00EE155D">
        <w:rPr>
          <w:rFonts w:ascii="Arial" w:hAnsi="Arial" w:cs="Arial"/>
          <w:sz w:val="14"/>
          <w:szCs w:val="14"/>
        </w:rPr>
        <w:t xml:space="preserve">graduated from Brown University in 1982 and obtained a medical degree from Columbia Physicians and Surgeons in 1986.  He finished a six-year neurosurgery residency at NYU in 1992 and then two fellowships in spinal surgery at the University of Florida and University of New Mexico. In 1994 Dr. McCormack was Assistant Professor at UCSF, Department of Neurosurgery and later became Director of the Spine Neurosurgery Service.  Dr. McCormack has published multiple articles, </w:t>
      </w:r>
      <w:proofErr w:type="gramStart"/>
      <w:r w:rsidR="00EE155D" w:rsidRPr="00EE155D">
        <w:rPr>
          <w:rFonts w:ascii="Arial" w:hAnsi="Arial" w:cs="Arial"/>
          <w:sz w:val="14"/>
          <w:szCs w:val="14"/>
        </w:rPr>
        <w:t>abstracts</w:t>
      </w:r>
      <w:proofErr w:type="gramEnd"/>
      <w:r w:rsidR="00EE155D" w:rsidRPr="00EE155D">
        <w:rPr>
          <w:rFonts w:ascii="Arial" w:hAnsi="Arial" w:cs="Arial"/>
          <w:sz w:val="14"/>
          <w:szCs w:val="14"/>
        </w:rPr>
        <w:t xml:space="preserve"> and chapters in the field of spine surgery. Dr. McCormack started a neurosurgery private practice in San Francisco in</w:t>
      </w:r>
      <w:r w:rsidR="00EE155D">
        <w:rPr>
          <w:rFonts w:ascii="Arial" w:hAnsi="Arial" w:cs="Arial"/>
          <w:sz w:val="14"/>
          <w:szCs w:val="14"/>
        </w:rPr>
        <w:t xml:space="preserve"> </w:t>
      </w:r>
      <w:r w:rsidR="00EE155D" w:rsidRPr="00EE155D">
        <w:rPr>
          <w:rFonts w:ascii="Arial" w:hAnsi="Arial" w:cs="Arial"/>
          <w:sz w:val="14"/>
          <w:szCs w:val="14"/>
        </w:rPr>
        <w:t>1998 which remains active to present.</w:t>
      </w:r>
      <w:r w:rsidR="00EE155D">
        <w:t> </w:t>
      </w:r>
      <w:r w:rsidR="00EE155D">
        <w:rPr>
          <w:rFonts w:ascii="Arial" w:hAnsi="Arial" w:cs="Arial"/>
          <w:sz w:val="14"/>
          <w:szCs w:val="14"/>
        </w:rPr>
        <w:t xml:space="preserve">Dr. McCormack founded 2 medical device companies and is an angel investor in several medical technology companies. </w:t>
      </w:r>
    </w:p>
    <w:p w14:paraId="6132A588" w14:textId="35A392DD" w:rsidR="00AE3E37" w:rsidRDefault="00A9710C" w:rsidP="00EE155D">
      <w:pPr>
        <w:spacing w:before="100" w:beforeAutospacing="1" w:after="100" w:afterAutospacing="1"/>
        <w:rPr>
          <w:rStyle w:val="Hyperlink"/>
          <w:rFonts w:ascii="Arial"/>
          <w:sz w:val="14"/>
        </w:rPr>
      </w:pPr>
      <w:r>
        <w:rPr>
          <w:rFonts w:ascii="Arial"/>
          <w:sz w:val="14"/>
        </w:rPr>
        <w:t xml:space="preserve">Email: </w:t>
      </w:r>
      <w:r w:rsidR="00702B4F" w:rsidRPr="00702B4F">
        <w:rPr>
          <w:rFonts w:ascii="Arial"/>
          <w:sz w:val="14"/>
        </w:rPr>
        <w:t>b</w:t>
      </w:r>
      <w:r w:rsidR="00702B4F">
        <w:rPr>
          <w:rFonts w:ascii="Arial"/>
          <w:sz w:val="14"/>
        </w:rPr>
        <w:t>mccormack@neurospine.org</w:t>
      </w:r>
    </w:p>
    <w:p w14:paraId="189BA863" w14:textId="528A6318" w:rsidR="005575CD" w:rsidRDefault="00945D9A" w:rsidP="00EE155D">
      <w:pPr>
        <w:spacing w:before="62"/>
        <w:ind w:right="-20"/>
        <w:rPr>
          <w:rFonts w:ascii="Arial"/>
          <w:color w:val="BF5A14"/>
        </w:rPr>
      </w:pPr>
      <w:r>
        <w:rPr>
          <w:sz w:val="14"/>
          <w:szCs w:val="14"/>
        </w:rPr>
        <w:t>Office</w:t>
      </w:r>
      <w:r w:rsidR="00BB3B5C">
        <w:rPr>
          <w:sz w:val="14"/>
          <w:szCs w:val="14"/>
        </w:rPr>
        <w:t xml:space="preserve"> </w:t>
      </w:r>
      <w:r w:rsidR="00E25135">
        <w:rPr>
          <w:sz w:val="14"/>
          <w:szCs w:val="14"/>
        </w:rPr>
        <w:t>no/</w:t>
      </w:r>
      <w:r w:rsidR="00702B4F">
        <w:rPr>
          <w:sz w:val="14"/>
          <w:szCs w:val="14"/>
        </w:rPr>
        <w:t>415-</w:t>
      </w:r>
      <w:r w:rsidR="00292ED9">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F6705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Pr>
          <w:sz w:val="14"/>
          <w:szCs w:val="14"/>
        </w:rPr>
        <w:t>923-9222</w:t>
      </w:r>
    </w:p>
    <w:p w14:paraId="4CBC8E63" w14:textId="26979B09" w:rsidR="00B31823" w:rsidRPr="005575CD" w:rsidRDefault="00BB3B5C" w:rsidP="005575CD">
      <w:pPr>
        <w:spacing w:before="92"/>
        <w:ind w:right="4234"/>
        <w:rPr>
          <w:rFonts w:ascii="Arial"/>
          <w:color w:val="BF5A14"/>
        </w:rPr>
      </w:pPr>
      <w:r w:rsidRPr="00BB3B5C">
        <w:rPr>
          <w:rFonts w:ascii="Arial"/>
          <w:color w:val="BF5A14"/>
        </w:rPr>
        <w:t>Additional Details</w:t>
      </w:r>
    </w:p>
    <w:p w14:paraId="0370F78A" w14:textId="74EA364D" w:rsidR="00BB3B5C" w:rsidRPr="00766CD9" w:rsidRDefault="00BB3B5C" w:rsidP="00766CD9">
      <w:pPr>
        <w:pStyle w:val="BodyText"/>
        <w:spacing w:before="90" w:line="280" w:lineRule="auto"/>
        <w:ind w:left="100"/>
        <w:jc w:val="both"/>
      </w:pPr>
      <w:r w:rsidRPr="00766CD9">
        <w:t>Abstract Category:</w:t>
      </w:r>
    </w:p>
    <w:p w14:paraId="1A33A4DA" w14:textId="77777777" w:rsidR="00BB3B5C" w:rsidRDefault="00BB3B5C">
      <w:pPr>
        <w:rPr>
          <w:rFonts w:ascii="Minion Pro"/>
          <w:sz w:val="24"/>
        </w:rPr>
      </w:pPr>
    </w:p>
    <w:p w14:paraId="4A47F944" w14:textId="77777777" w:rsidR="00BB3B5C" w:rsidRDefault="00BB3B5C">
      <w:pPr>
        <w:rPr>
          <w:rFonts w:ascii="Minion Pro"/>
          <w:sz w:val="24"/>
        </w:rPr>
        <w:sectPr w:rsidR="00BB3B5C">
          <w:type w:val="continuous"/>
          <w:pgSz w:w="11910" w:h="16840"/>
          <w:pgMar w:top="1740" w:right="600" w:bottom="840" w:left="620" w:header="720" w:footer="720" w:gutter="0"/>
          <w:cols w:space="720"/>
        </w:sectPr>
      </w:pPr>
    </w:p>
    <w:p w14:paraId="73CB325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B0F5F" w14:textId="77777777" w:rsidR="001C2C62" w:rsidRDefault="001C2C62">
      <w:r>
        <w:separator/>
      </w:r>
    </w:p>
  </w:endnote>
  <w:endnote w:type="continuationSeparator" w:id="0">
    <w:p w14:paraId="26803FEA" w14:textId="77777777" w:rsidR="001C2C62" w:rsidRDefault="001C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3BDFE" w14:textId="77777777" w:rsidR="001C2C62" w:rsidRDefault="001C2C62">
      <w:r>
        <w:separator/>
      </w:r>
    </w:p>
  </w:footnote>
  <w:footnote w:type="continuationSeparator" w:id="0">
    <w:p w14:paraId="79FADDE1" w14:textId="77777777" w:rsidR="001C2C62" w:rsidRDefault="001C2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11F5D2EE" w:rsidR="00AE3E37" w:rsidRDefault="006D1D8D">
    <w:pPr>
      <w:pStyle w:val="BodyText"/>
      <w:spacing w:line="14" w:lineRule="auto"/>
      <w:rPr>
        <w:sz w:val="20"/>
      </w:rPr>
    </w:pPr>
    <w:r>
      <w:rPr>
        <w:noProof/>
        <w:sz w:val="20"/>
      </w:rPr>
      <w:drawing>
        <wp:anchor distT="0" distB="0" distL="114300" distR="114300" simplePos="0" relativeHeight="503313000" behindDoc="1" locked="0" layoutInCell="1" allowOverlap="1" wp14:anchorId="5D86FA6D" wp14:editId="0A0C5991">
          <wp:simplePos x="0" y="0"/>
          <wp:positionH relativeFrom="margin">
            <wp:align>center</wp:align>
          </wp:positionH>
          <wp:positionV relativeFrom="paragraph">
            <wp:posOffset>-181610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DEB"/>
    <w:rsid w:val="000579E6"/>
    <w:rsid w:val="00082E46"/>
    <w:rsid w:val="000E2911"/>
    <w:rsid w:val="00112859"/>
    <w:rsid w:val="00125E6E"/>
    <w:rsid w:val="001263DF"/>
    <w:rsid w:val="0016742C"/>
    <w:rsid w:val="0019659B"/>
    <w:rsid w:val="001C2C62"/>
    <w:rsid w:val="001D105D"/>
    <w:rsid w:val="001E763C"/>
    <w:rsid w:val="00234CE0"/>
    <w:rsid w:val="002379B1"/>
    <w:rsid w:val="00255F0C"/>
    <w:rsid w:val="00292ED9"/>
    <w:rsid w:val="002A43AB"/>
    <w:rsid w:val="002B066F"/>
    <w:rsid w:val="00314AFB"/>
    <w:rsid w:val="003A517C"/>
    <w:rsid w:val="003B19F8"/>
    <w:rsid w:val="003B76D9"/>
    <w:rsid w:val="00404E5B"/>
    <w:rsid w:val="004060C8"/>
    <w:rsid w:val="00407791"/>
    <w:rsid w:val="00414F7B"/>
    <w:rsid w:val="00432A4E"/>
    <w:rsid w:val="004355DC"/>
    <w:rsid w:val="0045638E"/>
    <w:rsid w:val="004749B4"/>
    <w:rsid w:val="00494130"/>
    <w:rsid w:val="004F3523"/>
    <w:rsid w:val="00535D8C"/>
    <w:rsid w:val="005526D6"/>
    <w:rsid w:val="005575CD"/>
    <w:rsid w:val="00585C92"/>
    <w:rsid w:val="0059357D"/>
    <w:rsid w:val="00593E8C"/>
    <w:rsid w:val="005973B9"/>
    <w:rsid w:val="005B3A56"/>
    <w:rsid w:val="00601C77"/>
    <w:rsid w:val="006060CE"/>
    <w:rsid w:val="0063294A"/>
    <w:rsid w:val="00633709"/>
    <w:rsid w:val="0063497F"/>
    <w:rsid w:val="00636F55"/>
    <w:rsid w:val="00692DFB"/>
    <w:rsid w:val="006D1D8D"/>
    <w:rsid w:val="00702B4F"/>
    <w:rsid w:val="00733CCC"/>
    <w:rsid w:val="00766CD9"/>
    <w:rsid w:val="0078738A"/>
    <w:rsid w:val="0079716C"/>
    <w:rsid w:val="00843A57"/>
    <w:rsid w:val="00873DF0"/>
    <w:rsid w:val="008756E6"/>
    <w:rsid w:val="00880309"/>
    <w:rsid w:val="00894F4D"/>
    <w:rsid w:val="00903D0A"/>
    <w:rsid w:val="00927EE4"/>
    <w:rsid w:val="00941C62"/>
    <w:rsid w:val="00945D9A"/>
    <w:rsid w:val="009746AA"/>
    <w:rsid w:val="009A690B"/>
    <w:rsid w:val="009B2D44"/>
    <w:rsid w:val="009C1181"/>
    <w:rsid w:val="00A07E82"/>
    <w:rsid w:val="00A126D8"/>
    <w:rsid w:val="00A64D0E"/>
    <w:rsid w:val="00A75378"/>
    <w:rsid w:val="00A86C62"/>
    <w:rsid w:val="00A9710C"/>
    <w:rsid w:val="00AE1F2A"/>
    <w:rsid w:val="00AE3E37"/>
    <w:rsid w:val="00B21A57"/>
    <w:rsid w:val="00B31823"/>
    <w:rsid w:val="00B3278B"/>
    <w:rsid w:val="00B6112B"/>
    <w:rsid w:val="00B62A4E"/>
    <w:rsid w:val="00B64DFD"/>
    <w:rsid w:val="00B6617B"/>
    <w:rsid w:val="00BA2034"/>
    <w:rsid w:val="00BB3B5C"/>
    <w:rsid w:val="00BC2AD7"/>
    <w:rsid w:val="00C06552"/>
    <w:rsid w:val="00C33602"/>
    <w:rsid w:val="00C47392"/>
    <w:rsid w:val="00C83003"/>
    <w:rsid w:val="00CA4143"/>
    <w:rsid w:val="00CD6F55"/>
    <w:rsid w:val="00D604EE"/>
    <w:rsid w:val="00D62425"/>
    <w:rsid w:val="00DE3104"/>
    <w:rsid w:val="00E22898"/>
    <w:rsid w:val="00E25135"/>
    <w:rsid w:val="00E93162"/>
    <w:rsid w:val="00ED4E1F"/>
    <w:rsid w:val="00EE155D"/>
    <w:rsid w:val="00F72EEA"/>
    <w:rsid w:val="00F8136A"/>
    <w:rsid w:val="00F84CAE"/>
    <w:rsid w:val="00F95006"/>
    <w:rsid w:val="00FC1C06"/>
    <w:rsid w:val="00FC273E"/>
    <w:rsid w:val="00FE58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C288C67"/>
  <w15:docId w15:val="{64C06D95-150D-4222-A5DA-4265164D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2</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Rhosel Dayrit</cp:lastModifiedBy>
  <cp:revision>9</cp:revision>
  <dcterms:created xsi:type="dcterms:W3CDTF">2022-02-10T22:22:00Z</dcterms:created>
  <dcterms:modified xsi:type="dcterms:W3CDTF">2022-02-11T00:50:00Z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