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10D9" w:rsidRPr="00406888" w:rsidRDefault="006510D9" w:rsidP="00406888">
      <w:pPr>
        <w:jc w:val="center"/>
        <w:rPr>
          <w:rFonts w:ascii="Arial" w:eastAsiaTheme="minorHAnsi" w:hAnsi="Arial" w:cs="Arial"/>
          <w:b/>
          <w:bCs/>
          <w:sz w:val="24"/>
          <w:szCs w:val="24"/>
        </w:rPr>
      </w:pPr>
    </w:p>
    <w:p w:rsidR="006510D9" w:rsidRDefault="006510D9" w:rsidP="00406888">
      <w:pPr>
        <w:jc w:val="center"/>
        <w:rPr>
          <w:rFonts w:ascii="Arial" w:hAnsi="Arial" w:cs="Arial"/>
          <w:b/>
          <w:bCs/>
          <w:sz w:val="24"/>
          <w:szCs w:val="24"/>
        </w:rPr>
      </w:pPr>
      <w:r w:rsidRPr="00406888">
        <w:rPr>
          <w:rFonts w:ascii="Arial" w:hAnsi="Arial" w:cs="Arial"/>
          <w:b/>
          <w:bCs/>
          <w:sz w:val="24"/>
          <w:szCs w:val="24"/>
        </w:rPr>
        <w:t>Lumbar Foraminal Stenosis Classification that Guides Surgical Treatment</w:t>
      </w:r>
    </w:p>
    <w:p w:rsidR="00406888" w:rsidRPr="00406888" w:rsidRDefault="00406888" w:rsidP="00406888">
      <w:pPr>
        <w:jc w:val="center"/>
        <w:rPr>
          <w:rFonts w:ascii="Arial" w:hAnsi="Arial" w:cs="Arial"/>
          <w:b/>
          <w:bCs/>
          <w:sz w:val="24"/>
          <w:szCs w:val="24"/>
        </w:rPr>
      </w:pPr>
    </w:p>
    <w:p w:rsidR="00AE3E37" w:rsidRPr="00406888" w:rsidRDefault="006510D9" w:rsidP="00406888">
      <w:pPr>
        <w:pStyle w:val="BodyText"/>
        <w:spacing w:before="73"/>
        <w:ind w:left="100" w:right="5987"/>
        <w:rPr>
          <w:rFonts w:ascii="Arial" w:hAnsi="Arial" w:cs="Arial"/>
          <w:sz w:val="24"/>
          <w:szCs w:val="24"/>
        </w:rPr>
      </w:pPr>
      <w:r w:rsidRPr="00406888">
        <w:rPr>
          <w:rFonts w:ascii="Arial" w:hAnsi="Arial" w:cs="Arial"/>
          <w:sz w:val="24"/>
          <w:szCs w:val="24"/>
        </w:rPr>
        <w:t xml:space="preserve">Prof. </w:t>
      </w:r>
      <w:r w:rsidR="0078738A" w:rsidRPr="00406888">
        <w:rPr>
          <w:rFonts w:ascii="Arial" w:hAnsi="Arial" w:cs="Arial"/>
          <w:sz w:val="24"/>
          <w:szCs w:val="24"/>
        </w:rPr>
        <w:t>Dr</w:t>
      </w:r>
      <w:r w:rsidR="001A3087">
        <w:rPr>
          <w:rFonts w:ascii="Arial" w:hAnsi="Arial" w:cs="Arial"/>
          <w:sz w:val="24"/>
          <w:szCs w:val="24"/>
        </w:rPr>
        <w:t>.</w:t>
      </w:r>
      <w:r w:rsidR="0078738A" w:rsidRPr="00406888">
        <w:rPr>
          <w:rFonts w:ascii="Arial" w:hAnsi="Arial" w:cs="Arial"/>
          <w:sz w:val="24"/>
          <w:szCs w:val="24"/>
        </w:rPr>
        <w:t xml:space="preserve"> A</w:t>
      </w:r>
      <w:r w:rsidRPr="00406888">
        <w:rPr>
          <w:rFonts w:ascii="Arial" w:hAnsi="Arial" w:cs="Arial"/>
          <w:sz w:val="24"/>
          <w:szCs w:val="24"/>
        </w:rPr>
        <w:t>li Fahir Özer</w:t>
      </w:r>
    </w:p>
    <w:p w:rsidR="006510D9" w:rsidRPr="00406888" w:rsidRDefault="006510D9" w:rsidP="00406888">
      <w:pPr>
        <w:pStyle w:val="BodyText"/>
        <w:spacing w:before="73"/>
        <w:ind w:left="100" w:right="5987"/>
        <w:rPr>
          <w:rFonts w:ascii="Arial" w:hAnsi="Arial" w:cs="Arial"/>
          <w:sz w:val="24"/>
          <w:szCs w:val="24"/>
        </w:rPr>
      </w:pPr>
      <w:r w:rsidRPr="00406888">
        <w:rPr>
          <w:rFonts w:ascii="Arial" w:hAnsi="Arial" w:cs="Arial"/>
          <w:sz w:val="24"/>
          <w:szCs w:val="24"/>
        </w:rPr>
        <w:t xml:space="preserve">Koc University School of Medicine </w:t>
      </w:r>
    </w:p>
    <w:p w:rsidR="006510D9" w:rsidRPr="00406888" w:rsidRDefault="006510D9" w:rsidP="00406888">
      <w:pPr>
        <w:pStyle w:val="BodyText"/>
        <w:spacing w:before="73"/>
        <w:ind w:left="100" w:right="5987"/>
        <w:rPr>
          <w:rFonts w:ascii="Arial" w:hAnsi="Arial" w:cs="Arial"/>
          <w:sz w:val="24"/>
          <w:szCs w:val="24"/>
        </w:rPr>
      </w:pPr>
      <w:r w:rsidRPr="00406888">
        <w:rPr>
          <w:rFonts w:ascii="Arial" w:hAnsi="Arial" w:cs="Arial"/>
          <w:sz w:val="24"/>
          <w:szCs w:val="24"/>
        </w:rPr>
        <w:t>Istanbul-Turkey</w:t>
      </w:r>
    </w:p>
    <w:p w:rsidR="00AE3E37" w:rsidRPr="00406888" w:rsidRDefault="00AE3E37" w:rsidP="00406888">
      <w:pPr>
        <w:pStyle w:val="BodyText"/>
        <w:spacing w:before="3"/>
        <w:rPr>
          <w:rFonts w:ascii="Arial" w:hAnsi="Arial" w:cs="Arial"/>
          <w:sz w:val="24"/>
          <w:szCs w:val="24"/>
        </w:rPr>
      </w:pPr>
    </w:p>
    <w:p w:rsidR="00AE3E37" w:rsidRPr="00406888" w:rsidRDefault="00AE3E37" w:rsidP="00406888">
      <w:pPr>
        <w:rPr>
          <w:rFonts w:ascii="Arial" w:hAnsi="Arial" w:cs="Arial"/>
          <w:sz w:val="24"/>
          <w:szCs w:val="24"/>
        </w:rPr>
        <w:sectPr w:rsidR="00AE3E37" w:rsidRPr="00406888" w:rsidSect="00F84426">
          <w:headerReference w:type="even" r:id="rId7"/>
          <w:headerReference w:type="default" r:id="rId8"/>
          <w:footerReference w:type="even" r:id="rId9"/>
          <w:footerReference w:type="default" r:id="rId10"/>
          <w:headerReference w:type="first" r:id="rId11"/>
          <w:footerReference w:type="first" r:id="rId12"/>
          <w:type w:val="continuous"/>
          <w:pgSz w:w="11910" w:h="16840"/>
          <w:pgMar w:top="1740" w:right="600" w:bottom="840" w:left="620" w:header="541" w:footer="642" w:gutter="0"/>
          <w:cols w:space="720"/>
        </w:sectPr>
      </w:pPr>
    </w:p>
    <w:p w:rsidR="00406888" w:rsidRPr="00406888" w:rsidRDefault="00A9710C" w:rsidP="00406888">
      <w:pPr>
        <w:pStyle w:val="Heading3"/>
        <w:spacing w:before="147"/>
        <w:jc w:val="both"/>
        <w:rPr>
          <w:color w:val="BF5A14"/>
          <w:sz w:val="24"/>
          <w:szCs w:val="24"/>
        </w:rPr>
      </w:pPr>
      <w:r w:rsidRPr="00406888">
        <w:rPr>
          <w:color w:val="BF5A14"/>
          <w:sz w:val="24"/>
          <w:szCs w:val="24"/>
        </w:rPr>
        <w:t>Abstract</w:t>
      </w:r>
      <w:r w:rsidR="00404E5B" w:rsidRPr="00406888">
        <w:rPr>
          <w:color w:val="BF5A14"/>
          <w:sz w:val="24"/>
          <w:szCs w:val="24"/>
        </w:rPr>
        <w:t xml:space="preserve"> </w:t>
      </w:r>
    </w:p>
    <w:p w:rsidR="006510D9" w:rsidRPr="00406888" w:rsidRDefault="006510D9" w:rsidP="00406888">
      <w:pPr>
        <w:pStyle w:val="Heading3"/>
        <w:spacing w:before="147"/>
        <w:jc w:val="both"/>
        <w:rPr>
          <w:rFonts w:eastAsia="Arial Unicode MS"/>
          <w:b w:val="0"/>
          <w:bCs w:val="0"/>
          <w:color w:val="000000"/>
          <w:sz w:val="24"/>
          <w:szCs w:val="24"/>
          <w:u w:color="000000"/>
          <w:lang w:eastAsia="tr-TR"/>
        </w:rPr>
      </w:pPr>
      <w:r w:rsidRPr="00406888">
        <w:rPr>
          <w:rFonts w:eastAsia="Arial Unicode MS"/>
          <w:b w:val="0"/>
          <w:bCs w:val="0"/>
          <w:color w:val="000000"/>
          <w:sz w:val="24"/>
          <w:szCs w:val="24"/>
          <w:u w:color="000000"/>
          <w:lang w:eastAsia="tr-TR"/>
        </w:rPr>
        <w:t>There are numerous radiological and anatomical studies on lumbar foramina in the literature, but there are no distinctive studies about the relationship between treatment and the type of foraminal stenosis.  This study was conducted to better evaluate foraminal stenosis and to plan treatment accordingly. Foraminal stenosis was divided into two groups: stable and unstable stenosis. Both groups were also divided into four subgroups in relation to the cause of and type of compression and based on the structure of the intervertebral disc. Visual analog scale for leg pain (VAS-LP) and Oswestry Disability Index (ODI) scores were investigated before and after surgery.</w:t>
      </w:r>
    </w:p>
    <w:p w:rsidR="00406888" w:rsidRPr="00406888" w:rsidRDefault="006510D9" w:rsidP="00406888">
      <w:pPr>
        <w:pStyle w:val="Heading3"/>
        <w:spacing w:before="147"/>
        <w:jc w:val="both"/>
        <w:rPr>
          <w:rFonts w:eastAsia="Arial Unicode MS"/>
          <w:b w:val="0"/>
          <w:bCs w:val="0"/>
          <w:color w:val="000000"/>
          <w:sz w:val="24"/>
          <w:szCs w:val="24"/>
          <w:u w:color="000000"/>
          <w:lang w:eastAsia="tr-TR"/>
        </w:rPr>
      </w:pPr>
      <w:r w:rsidRPr="00406888">
        <w:rPr>
          <w:rFonts w:eastAsia="Arial Unicode MS"/>
          <w:b w:val="0"/>
          <w:bCs w:val="0"/>
          <w:color w:val="000000"/>
          <w:sz w:val="24"/>
          <w:szCs w:val="24"/>
          <w:u w:color="000000"/>
          <w:lang w:eastAsia="tr-TR"/>
        </w:rPr>
        <w:t xml:space="preserve">One hundred and fifteen patients (59 females and 56 males) underwent surgery for lumbar foraminal stenosis. The mean patient age was 56,1 (range, 17 to 80) years. The mean follow-up was 29 months (range, 24-39 months).  There were 36 patients (32%) with stable foraminal stenosis and 79 patients (68%) with unstable foraminal stenosis. The majority of the patients were identified as having unstable type 1 foraminal stenosis (45 of 115). The VAS-LP and ODI scores for each groups decreased gradually during the follow-up periods and showed significantly decrease during the last follow-up (p&lt;0.001). Inter-observer and intra-observer agreement in the classification of foraminal stenosis was found to be nearly perfect. No patients experienced postoperative radiculopathy complication. Only two patients experienced superficial operation site infection and one showed deep wound infection. The patient who had deep wound infection was needed to repeat surgery for the </w:t>
      </w:r>
    </w:p>
    <w:p w:rsidR="00406888" w:rsidRPr="00406888" w:rsidRDefault="00406888" w:rsidP="00406888">
      <w:pPr>
        <w:pStyle w:val="Heading3"/>
        <w:spacing w:before="147"/>
        <w:jc w:val="both"/>
        <w:rPr>
          <w:rFonts w:eastAsia="Arial Unicode MS"/>
          <w:b w:val="0"/>
          <w:bCs w:val="0"/>
          <w:color w:val="000000"/>
          <w:sz w:val="24"/>
          <w:szCs w:val="24"/>
          <w:u w:color="000000"/>
          <w:lang w:eastAsia="tr-TR"/>
        </w:rPr>
      </w:pPr>
    </w:p>
    <w:p w:rsidR="00AE3E37" w:rsidRPr="00406888" w:rsidRDefault="006510D9" w:rsidP="00406888">
      <w:pPr>
        <w:pStyle w:val="Heading3"/>
        <w:spacing w:before="147"/>
        <w:jc w:val="both"/>
        <w:rPr>
          <w:rFonts w:eastAsia="Arial Unicode MS"/>
          <w:b w:val="0"/>
          <w:bCs w:val="0"/>
          <w:color w:val="000000"/>
          <w:sz w:val="24"/>
          <w:szCs w:val="24"/>
          <w:u w:color="000000"/>
          <w:lang w:eastAsia="tr-TR"/>
        </w:rPr>
      </w:pPr>
      <w:r w:rsidRPr="00406888">
        <w:rPr>
          <w:rFonts w:eastAsia="Arial Unicode MS"/>
          <w:b w:val="0"/>
          <w:bCs w:val="0"/>
          <w:color w:val="000000"/>
          <w:sz w:val="24"/>
          <w:szCs w:val="24"/>
          <w:u w:color="000000"/>
          <w:lang w:eastAsia="tr-TR"/>
        </w:rPr>
        <w:t>infection. We introduced a novel classification system for lumbar foraminal stenosis. We aimed to guide appropriate treatment modality depending on the determined classification. This classification helps to determine the optimal treatment. In the light of our findings, the patients who were operated according to our classification experienced satisfactory clinical outcomes and lower complication rates.</w:t>
      </w:r>
    </w:p>
    <w:p w:rsidR="006510D9" w:rsidRPr="00406888" w:rsidRDefault="005973B9" w:rsidP="00406888">
      <w:pPr>
        <w:rPr>
          <w:rFonts w:ascii="Arial" w:hAnsi="Arial" w:cs="Arial"/>
          <w:b/>
          <w:color w:val="BF5A14"/>
          <w:sz w:val="24"/>
          <w:szCs w:val="24"/>
        </w:rPr>
      </w:pPr>
      <w:r w:rsidRPr="00406888">
        <w:rPr>
          <w:rFonts w:ascii="Arial" w:hAnsi="Arial" w:cs="Arial"/>
          <w:b/>
          <w:color w:val="BF5A14"/>
          <w:sz w:val="24"/>
          <w:szCs w:val="24"/>
        </w:rPr>
        <w:br/>
      </w:r>
      <w:r w:rsidR="00406888" w:rsidRPr="00406888">
        <w:rPr>
          <w:rFonts w:ascii="Arial" w:hAnsi="Arial" w:cs="Arial"/>
          <w:b/>
          <w:color w:val="BF5A14"/>
          <w:sz w:val="24"/>
          <w:szCs w:val="24"/>
        </w:rPr>
        <w:t xml:space="preserve">Recent Publications </w:t>
      </w:r>
    </w:p>
    <w:p w:rsidR="00F84426" w:rsidRPr="00406888" w:rsidRDefault="00F84426" w:rsidP="00406888">
      <w:pPr>
        <w:pStyle w:val="ListParagraph"/>
        <w:numPr>
          <w:ilvl w:val="0"/>
          <w:numId w:val="4"/>
        </w:numPr>
        <w:spacing w:line="240" w:lineRule="auto"/>
        <w:rPr>
          <w:rFonts w:ascii="Arial" w:hAnsi="Arial" w:cs="Arial"/>
          <w:b/>
          <w:sz w:val="24"/>
          <w:szCs w:val="24"/>
        </w:rPr>
      </w:pPr>
      <w:r w:rsidRPr="00406888">
        <w:rPr>
          <w:rFonts w:ascii="Arial" w:hAnsi="Arial" w:cs="Arial"/>
          <w:sz w:val="24"/>
          <w:szCs w:val="24"/>
        </w:rPr>
        <w:t xml:space="preserve">Rienmüller AC, Krieg SM, Schmidt FA, Meyer EL, Meyer B. Reoperation rates and risk factors for revision 4 years after dynamic stabilization of the lumbar spine. Spine J. 2019; 19:113-120. </w:t>
      </w:r>
    </w:p>
    <w:p w:rsidR="006510D9" w:rsidRPr="00406888" w:rsidRDefault="006510D9" w:rsidP="00406888">
      <w:pPr>
        <w:pStyle w:val="ListParagraph"/>
        <w:numPr>
          <w:ilvl w:val="0"/>
          <w:numId w:val="4"/>
        </w:numPr>
        <w:spacing w:line="240" w:lineRule="auto"/>
        <w:rPr>
          <w:rFonts w:ascii="Arial" w:hAnsi="Arial" w:cs="Arial"/>
          <w:b/>
          <w:sz w:val="24"/>
          <w:szCs w:val="24"/>
        </w:rPr>
      </w:pPr>
      <w:r w:rsidRPr="00406888">
        <w:rPr>
          <w:rFonts w:ascii="Arial" w:hAnsi="Arial" w:cs="Arial"/>
          <w:sz w:val="24"/>
          <w:szCs w:val="24"/>
        </w:rPr>
        <w:t>Gill GG, Manning JG, White HL. Surgical treatment of spondylolisthesis without spine fusion: excision of the loose lamina with decompression of the nerve roots. J Bone Joint Surg Br 1955; 37: 493–520.</w:t>
      </w:r>
    </w:p>
    <w:p w:rsidR="006510D9" w:rsidRPr="00406888" w:rsidRDefault="006510D9" w:rsidP="00406888">
      <w:pPr>
        <w:pStyle w:val="ListParagraph"/>
        <w:numPr>
          <w:ilvl w:val="0"/>
          <w:numId w:val="4"/>
        </w:numPr>
        <w:spacing w:line="240" w:lineRule="auto"/>
        <w:rPr>
          <w:rFonts w:ascii="Arial" w:hAnsi="Arial" w:cs="Arial"/>
          <w:b/>
          <w:sz w:val="24"/>
          <w:szCs w:val="24"/>
        </w:rPr>
      </w:pPr>
      <w:r w:rsidRPr="00406888">
        <w:rPr>
          <w:rFonts w:ascii="Arial" w:hAnsi="Arial" w:cs="Arial"/>
          <w:sz w:val="24"/>
          <w:szCs w:val="24"/>
        </w:rPr>
        <w:t>Smith GA, Aspden RM, Porter RW. Measurement of vertebral foraminal dimensions using three-dimensional computerized tomography. Spine 1993; 18:629-636.</w:t>
      </w:r>
    </w:p>
    <w:p w:rsidR="006510D9" w:rsidRPr="00406888" w:rsidRDefault="006510D9" w:rsidP="00406888">
      <w:pPr>
        <w:pStyle w:val="ListParagraph"/>
        <w:numPr>
          <w:ilvl w:val="0"/>
          <w:numId w:val="4"/>
        </w:numPr>
        <w:spacing w:line="240" w:lineRule="auto"/>
        <w:rPr>
          <w:rFonts w:ascii="Arial" w:hAnsi="Arial" w:cs="Arial"/>
          <w:b/>
          <w:sz w:val="24"/>
          <w:szCs w:val="24"/>
        </w:rPr>
      </w:pPr>
      <w:r w:rsidRPr="00406888">
        <w:rPr>
          <w:rFonts w:ascii="Arial" w:hAnsi="Arial" w:cs="Arial"/>
          <w:sz w:val="24"/>
          <w:szCs w:val="24"/>
        </w:rPr>
        <w:t>Lee S, Lee JW, Yeom JS, et al. A practical MRI grading system for lumbar foraminal stenosis. AJR Am J Roentgenol. 2010; 194:1095-1098.</w:t>
      </w:r>
    </w:p>
    <w:p w:rsidR="00F84426" w:rsidRPr="00406888" w:rsidRDefault="00F84426" w:rsidP="00406888">
      <w:pPr>
        <w:pStyle w:val="ListParagraph"/>
        <w:numPr>
          <w:ilvl w:val="0"/>
          <w:numId w:val="4"/>
        </w:numPr>
        <w:spacing w:line="240" w:lineRule="auto"/>
        <w:rPr>
          <w:rFonts w:ascii="Arial" w:hAnsi="Arial" w:cs="Arial"/>
          <w:b/>
          <w:sz w:val="24"/>
          <w:szCs w:val="24"/>
        </w:rPr>
      </w:pPr>
      <w:r w:rsidRPr="00406888">
        <w:rPr>
          <w:rFonts w:ascii="Arial" w:hAnsi="Arial" w:cs="Arial"/>
          <w:sz w:val="24"/>
          <w:szCs w:val="24"/>
        </w:rPr>
        <w:t>Ozer AF, Suzer T, Sasani M, Oktenoglu T, Egemen E. Enlargement of Neural Foramina and Dynamic Stabilization in Spondylolisthesis without Restoring the Alignment: Technical Note. Korean J Spine. 2016; 13:37-39.</w:t>
      </w:r>
    </w:p>
    <w:p w:rsidR="00406888" w:rsidRPr="00406888" w:rsidRDefault="00406888" w:rsidP="00406888">
      <w:pPr>
        <w:rPr>
          <w:rFonts w:ascii="Arial" w:hAnsi="Arial" w:cs="Arial"/>
          <w:b/>
          <w:sz w:val="24"/>
          <w:szCs w:val="24"/>
        </w:rPr>
        <w:sectPr w:rsidR="00406888" w:rsidRPr="00406888" w:rsidSect="00406888">
          <w:type w:val="continuous"/>
          <w:pgSz w:w="11910" w:h="16840"/>
          <w:pgMar w:top="1740" w:right="600" w:bottom="840" w:left="620" w:header="720" w:footer="720" w:gutter="0"/>
          <w:cols w:num="2" w:space="720"/>
        </w:sectPr>
      </w:pPr>
    </w:p>
    <w:p w:rsidR="00F84426" w:rsidRPr="00406888" w:rsidRDefault="00F84426" w:rsidP="00406888">
      <w:pPr>
        <w:rPr>
          <w:rFonts w:ascii="Arial" w:hAnsi="Arial" w:cs="Arial"/>
          <w:b/>
          <w:sz w:val="24"/>
          <w:szCs w:val="24"/>
        </w:rPr>
      </w:pPr>
    </w:p>
    <w:p w:rsidR="00F84426" w:rsidRPr="00406888" w:rsidRDefault="00F84426" w:rsidP="00406888">
      <w:pPr>
        <w:rPr>
          <w:rFonts w:ascii="Arial" w:hAnsi="Arial" w:cs="Arial"/>
          <w:b/>
          <w:sz w:val="24"/>
          <w:szCs w:val="24"/>
        </w:rPr>
      </w:pPr>
      <w:bookmarkStart w:id="0" w:name="_GoBack"/>
      <w:bookmarkEnd w:id="0"/>
    </w:p>
    <w:p w:rsidR="00406888" w:rsidRPr="00406888" w:rsidRDefault="00406888" w:rsidP="00406888">
      <w:pPr>
        <w:pStyle w:val="ListParagraph"/>
        <w:spacing w:before="62" w:line="240" w:lineRule="auto"/>
        <w:ind w:left="720" w:right="4235" w:firstLine="0"/>
        <w:rPr>
          <w:rFonts w:ascii="Arial" w:hAnsi="Arial" w:cs="Arial"/>
          <w:color w:val="BF5A14"/>
          <w:sz w:val="24"/>
          <w:szCs w:val="24"/>
        </w:rPr>
      </w:pPr>
    </w:p>
    <w:p w:rsidR="00406888" w:rsidRPr="00406888" w:rsidRDefault="00406888" w:rsidP="00406888">
      <w:pPr>
        <w:pStyle w:val="ListParagraph"/>
        <w:spacing w:before="62" w:line="240" w:lineRule="auto"/>
        <w:ind w:left="720" w:right="4235" w:firstLine="0"/>
        <w:rPr>
          <w:rFonts w:ascii="Arial" w:hAnsi="Arial" w:cs="Arial"/>
          <w:color w:val="BF5A14"/>
          <w:sz w:val="24"/>
          <w:szCs w:val="24"/>
        </w:rPr>
      </w:pPr>
    </w:p>
    <w:p w:rsidR="00406888" w:rsidRPr="00406888" w:rsidRDefault="00406888" w:rsidP="00406888">
      <w:pPr>
        <w:pStyle w:val="ListParagraph"/>
        <w:spacing w:before="62" w:line="240" w:lineRule="auto"/>
        <w:ind w:left="720" w:right="4235" w:firstLine="0"/>
        <w:rPr>
          <w:rFonts w:ascii="Arial" w:hAnsi="Arial" w:cs="Arial"/>
          <w:color w:val="BF5A14"/>
          <w:sz w:val="24"/>
          <w:szCs w:val="24"/>
        </w:rPr>
      </w:pPr>
    </w:p>
    <w:p w:rsidR="00406888" w:rsidRPr="00406888" w:rsidRDefault="00406888" w:rsidP="00406888">
      <w:pPr>
        <w:pStyle w:val="ListParagraph"/>
        <w:spacing w:before="62" w:line="240" w:lineRule="auto"/>
        <w:ind w:left="720" w:right="4235" w:firstLine="0"/>
        <w:rPr>
          <w:rFonts w:ascii="Arial" w:hAnsi="Arial" w:cs="Arial"/>
          <w:color w:val="BF5A14"/>
          <w:sz w:val="24"/>
          <w:szCs w:val="24"/>
        </w:rPr>
      </w:pPr>
    </w:p>
    <w:p w:rsidR="00406888" w:rsidRPr="00406888" w:rsidRDefault="00406888" w:rsidP="00406888">
      <w:pPr>
        <w:pStyle w:val="ListParagraph"/>
        <w:spacing w:before="62" w:line="240" w:lineRule="auto"/>
        <w:ind w:left="720" w:right="4235" w:firstLine="0"/>
        <w:rPr>
          <w:rFonts w:ascii="Arial" w:hAnsi="Arial" w:cs="Arial"/>
          <w:color w:val="BF5A14"/>
          <w:sz w:val="24"/>
          <w:szCs w:val="24"/>
        </w:rPr>
      </w:pPr>
    </w:p>
    <w:p w:rsidR="00406888" w:rsidRPr="00406888" w:rsidRDefault="00F84426" w:rsidP="00406888">
      <w:pPr>
        <w:pStyle w:val="ListParagraph"/>
        <w:spacing w:before="62" w:line="240" w:lineRule="auto"/>
        <w:ind w:left="720" w:right="4235" w:firstLine="0"/>
        <w:rPr>
          <w:rFonts w:ascii="Arial" w:hAnsi="Arial" w:cs="Arial"/>
          <w:sz w:val="24"/>
          <w:szCs w:val="24"/>
        </w:rPr>
      </w:pPr>
      <w:r w:rsidRPr="00406888">
        <w:rPr>
          <w:rFonts w:ascii="Arial" w:hAnsi="Arial" w:cs="Arial"/>
          <w:noProof/>
          <w:color w:val="BF5A14"/>
          <w:sz w:val="24"/>
          <w:szCs w:val="24"/>
        </w:rPr>
        <w:drawing>
          <wp:anchor distT="0" distB="0" distL="114300" distR="114300" simplePos="0" relativeHeight="251662848" behindDoc="0" locked="0" layoutInCell="1" allowOverlap="1">
            <wp:simplePos x="0" y="0"/>
            <wp:positionH relativeFrom="column">
              <wp:posOffset>4559300</wp:posOffset>
            </wp:positionH>
            <wp:positionV relativeFrom="paragraph">
              <wp:posOffset>66675</wp:posOffset>
            </wp:positionV>
            <wp:extent cx="2133600" cy="2133600"/>
            <wp:effectExtent l="0" t="0" r="0" b="0"/>
            <wp:wrapSquare wrapText="bothSides"/>
            <wp:docPr id="2" name="Picture 2" descr="\\Ahist25\Beyin Cerrahisi\ALI FAHIR OZER\afo-CV\A Fahir Ozer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ist25\Beyin Cerrahisi\ALI FAHIR OZER\afo-CV\A Fahir Ozer (1).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33600" cy="21336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06888">
        <w:rPr>
          <w:rFonts w:ascii="Arial" w:hAnsi="Arial" w:cs="Arial"/>
          <w:color w:val="BF5A14"/>
          <w:sz w:val="24"/>
          <w:szCs w:val="24"/>
        </w:rPr>
        <w:t xml:space="preserve">Biography </w:t>
      </w:r>
      <w:r w:rsidRPr="00406888">
        <w:rPr>
          <w:rFonts w:ascii="Arial" w:hAnsi="Arial" w:cs="Arial"/>
          <w:sz w:val="24"/>
          <w:szCs w:val="24"/>
        </w:rPr>
        <w:t>Prof. Dr. Ali Fahir Özer graduated from Atatürk University School of Medicine in 1976. He did his neurosurgery residency between 1977 and 1982 at Hacettepe University School of Medicine. He obtained his associate professor degree in 1988 and full-professorship in 1994. He has been working at American Hospital neurosurgery department since 1995 and is currently a faculty at Koc University School of Medicine, Department of Neurosurgery. He is Adjunct Professor in Bioengineering and Orthopaedic Surgery Colleges of Engineering and Medicine, University of Toledo in 2018.</w:t>
      </w:r>
      <w:r w:rsidR="00406888" w:rsidRPr="00406888">
        <w:rPr>
          <w:rFonts w:ascii="Arial" w:hAnsi="Arial" w:cs="Arial"/>
          <w:sz w:val="24"/>
          <w:szCs w:val="24"/>
        </w:rPr>
        <w:t xml:space="preserve"> </w:t>
      </w:r>
    </w:p>
    <w:p w:rsidR="00F84426" w:rsidRPr="00406888" w:rsidRDefault="00F84426" w:rsidP="00406888">
      <w:pPr>
        <w:pStyle w:val="ListParagraph"/>
        <w:spacing w:before="62" w:line="240" w:lineRule="auto"/>
        <w:ind w:left="720" w:right="4235" w:firstLine="0"/>
        <w:rPr>
          <w:rFonts w:ascii="Arial" w:hAnsi="Arial" w:cs="Arial"/>
          <w:sz w:val="24"/>
          <w:szCs w:val="24"/>
        </w:rPr>
      </w:pPr>
      <w:r w:rsidRPr="00406888">
        <w:rPr>
          <w:rFonts w:ascii="Arial" w:hAnsi="Arial" w:cs="Arial"/>
          <w:sz w:val="24"/>
          <w:szCs w:val="24"/>
        </w:rPr>
        <w:t>He has authored or co</w:t>
      </w:r>
      <w:r w:rsidRPr="00406888">
        <w:rPr>
          <w:rFonts w:ascii="Cambria Math" w:hAnsi="Cambria Math" w:cs="Cambria Math"/>
          <w:sz w:val="24"/>
          <w:szCs w:val="24"/>
        </w:rPr>
        <w:t>‐</w:t>
      </w:r>
      <w:r w:rsidRPr="00406888">
        <w:rPr>
          <w:rFonts w:ascii="Arial" w:hAnsi="Arial" w:cs="Arial"/>
          <w:sz w:val="24"/>
          <w:szCs w:val="24"/>
        </w:rPr>
        <w:t xml:space="preserve">authored well over 230 papers and wrote 46 book chapters, and he also editor of 9 books about his topic. </w:t>
      </w:r>
    </w:p>
    <w:p w:rsidR="00406888" w:rsidRPr="00406888" w:rsidRDefault="00F84426" w:rsidP="00406888">
      <w:pPr>
        <w:spacing w:before="62"/>
        <w:ind w:left="720" w:right="4235"/>
        <w:rPr>
          <w:rFonts w:ascii="Arial" w:hAnsi="Arial" w:cs="Arial"/>
          <w:sz w:val="24"/>
          <w:szCs w:val="24"/>
        </w:rPr>
      </w:pPr>
      <w:r w:rsidRPr="00406888">
        <w:rPr>
          <w:rFonts w:ascii="Arial" w:hAnsi="Arial" w:cs="Arial"/>
          <w:sz w:val="24"/>
          <w:szCs w:val="24"/>
        </w:rPr>
        <w:t>Dr. Ozer’s research mainly focuses on biomechanics  and dynamic stabilization of spine. He had patented Orthrus Dynamic Spinal System, Safinaz Dynamic Screw and Cervical Disc Prosthesis.</w:t>
      </w:r>
    </w:p>
    <w:p w:rsidR="00F84426" w:rsidRPr="00406888" w:rsidRDefault="00F84426" w:rsidP="00406888">
      <w:pPr>
        <w:spacing w:before="62"/>
        <w:ind w:left="720" w:right="4235"/>
        <w:rPr>
          <w:rFonts w:ascii="Arial" w:hAnsi="Arial" w:cs="Arial"/>
          <w:sz w:val="24"/>
          <w:szCs w:val="24"/>
        </w:rPr>
      </w:pPr>
      <w:r w:rsidRPr="00406888">
        <w:rPr>
          <w:rFonts w:ascii="Arial" w:hAnsi="Arial" w:cs="Arial"/>
          <w:sz w:val="24"/>
          <w:szCs w:val="24"/>
        </w:rPr>
        <w:t xml:space="preserve">Email: </w:t>
      </w:r>
      <w:hyperlink r:id="rId14" w:history="1">
        <w:r w:rsidRPr="00406888">
          <w:rPr>
            <w:rStyle w:val="Hyperlink"/>
            <w:rFonts w:ascii="Arial" w:hAnsi="Arial" w:cs="Arial"/>
            <w:sz w:val="24"/>
            <w:szCs w:val="24"/>
          </w:rPr>
          <w:t>alifahirozer@gmail.com</w:t>
        </w:r>
      </w:hyperlink>
    </w:p>
    <w:p w:rsidR="006510D9" w:rsidRPr="00406888" w:rsidRDefault="006510D9" w:rsidP="00406888">
      <w:pPr>
        <w:pStyle w:val="BodyText"/>
        <w:spacing w:before="85"/>
        <w:ind w:left="383" w:right="138" w:hanging="284"/>
        <w:jc w:val="both"/>
        <w:rPr>
          <w:rFonts w:ascii="Arial" w:hAnsi="Arial" w:cs="Arial"/>
          <w:sz w:val="24"/>
          <w:szCs w:val="24"/>
        </w:rPr>
      </w:pPr>
    </w:p>
    <w:p w:rsidR="00406888" w:rsidRPr="00406888" w:rsidRDefault="00406888" w:rsidP="00406888">
      <w:pPr>
        <w:pStyle w:val="BodyText"/>
        <w:spacing w:before="85"/>
        <w:ind w:left="383" w:right="138" w:hanging="284"/>
        <w:jc w:val="both"/>
        <w:rPr>
          <w:rFonts w:ascii="Arial" w:hAnsi="Arial" w:cs="Arial"/>
          <w:sz w:val="24"/>
          <w:szCs w:val="24"/>
        </w:rPr>
        <w:sectPr w:rsidR="00406888" w:rsidRPr="00406888" w:rsidSect="00406888">
          <w:type w:val="continuous"/>
          <w:pgSz w:w="11910" w:h="16840"/>
          <w:pgMar w:top="1740" w:right="600" w:bottom="840" w:left="620" w:header="720" w:footer="720" w:gutter="0"/>
          <w:cols w:space="720"/>
        </w:sectPr>
      </w:pPr>
    </w:p>
    <w:p w:rsidR="006510D9" w:rsidRPr="00406888" w:rsidRDefault="006510D9" w:rsidP="00406888">
      <w:pPr>
        <w:pStyle w:val="BodyText"/>
        <w:spacing w:before="85"/>
        <w:ind w:left="383" w:right="138" w:hanging="284"/>
        <w:jc w:val="both"/>
        <w:rPr>
          <w:rFonts w:ascii="Arial" w:hAnsi="Arial" w:cs="Arial"/>
          <w:sz w:val="24"/>
          <w:szCs w:val="24"/>
        </w:rPr>
      </w:pPr>
    </w:p>
    <w:p w:rsidR="006510D9" w:rsidRPr="00406888" w:rsidRDefault="006510D9" w:rsidP="00406888">
      <w:pPr>
        <w:pStyle w:val="BodyText"/>
        <w:spacing w:before="85"/>
        <w:ind w:left="383" w:right="138" w:hanging="284"/>
        <w:jc w:val="both"/>
        <w:rPr>
          <w:rFonts w:ascii="Arial" w:hAnsi="Arial" w:cs="Arial"/>
          <w:sz w:val="24"/>
          <w:szCs w:val="24"/>
        </w:rPr>
      </w:pPr>
    </w:p>
    <w:p w:rsidR="006510D9" w:rsidRPr="00406888" w:rsidRDefault="006510D9" w:rsidP="00406888">
      <w:pPr>
        <w:pStyle w:val="BodyText"/>
        <w:spacing w:before="85"/>
        <w:ind w:left="383" w:right="138" w:hanging="284"/>
        <w:jc w:val="both"/>
        <w:rPr>
          <w:rFonts w:ascii="Arial" w:hAnsi="Arial" w:cs="Arial"/>
          <w:sz w:val="24"/>
          <w:szCs w:val="24"/>
        </w:rPr>
      </w:pPr>
    </w:p>
    <w:p w:rsidR="00AE3E37" w:rsidRPr="00406888" w:rsidRDefault="00AE3E37" w:rsidP="00406888">
      <w:pPr>
        <w:tabs>
          <w:tab w:val="left" w:pos="384"/>
        </w:tabs>
        <w:ind w:right="117"/>
        <w:rPr>
          <w:rFonts w:ascii="Arial" w:hAnsi="Arial" w:cs="Arial"/>
          <w:sz w:val="24"/>
          <w:szCs w:val="24"/>
        </w:rPr>
      </w:pPr>
    </w:p>
    <w:p w:rsidR="006510D9" w:rsidRPr="00406888" w:rsidRDefault="006510D9" w:rsidP="00406888">
      <w:pPr>
        <w:tabs>
          <w:tab w:val="left" w:pos="384"/>
        </w:tabs>
        <w:ind w:right="117"/>
        <w:rPr>
          <w:rFonts w:ascii="Arial" w:hAnsi="Arial" w:cs="Arial"/>
          <w:sz w:val="24"/>
          <w:szCs w:val="24"/>
        </w:rPr>
      </w:pPr>
    </w:p>
    <w:p w:rsidR="006510D9" w:rsidRPr="00406888" w:rsidRDefault="006510D9" w:rsidP="00406888">
      <w:pPr>
        <w:tabs>
          <w:tab w:val="left" w:pos="384"/>
        </w:tabs>
        <w:ind w:right="117"/>
        <w:rPr>
          <w:rFonts w:ascii="Arial" w:hAnsi="Arial" w:cs="Arial"/>
          <w:sz w:val="24"/>
          <w:szCs w:val="24"/>
        </w:rPr>
      </w:pPr>
    </w:p>
    <w:p w:rsidR="006510D9" w:rsidRPr="00406888" w:rsidRDefault="006510D9" w:rsidP="00406888">
      <w:pPr>
        <w:tabs>
          <w:tab w:val="left" w:pos="384"/>
        </w:tabs>
        <w:ind w:right="117"/>
        <w:rPr>
          <w:rFonts w:ascii="Arial" w:hAnsi="Arial" w:cs="Arial"/>
          <w:sz w:val="24"/>
          <w:szCs w:val="24"/>
        </w:rPr>
      </w:pPr>
    </w:p>
    <w:p w:rsidR="006510D9" w:rsidRPr="00406888" w:rsidRDefault="006510D9" w:rsidP="00406888">
      <w:pPr>
        <w:tabs>
          <w:tab w:val="left" w:pos="384"/>
        </w:tabs>
        <w:ind w:right="117"/>
        <w:rPr>
          <w:rFonts w:ascii="Arial" w:hAnsi="Arial" w:cs="Arial"/>
          <w:sz w:val="24"/>
          <w:szCs w:val="24"/>
        </w:rPr>
      </w:pPr>
    </w:p>
    <w:p w:rsidR="006510D9" w:rsidRPr="00406888" w:rsidRDefault="006510D9" w:rsidP="00406888">
      <w:pPr>
        <w:tabs>
          <w:tab w:val="left" w:pos="384"/>
        </w:tabs>
        <w:ind w:right="117"/>
        <w:rPr>
          <w:rFonts w:ascii="Arial" w:hAnsi="Arial" w:cs="Arial"/>
          <w:sz w:val="24"/>
          <w:szCs w:val="24"/>
        </w:rPr>
      </w:pPr>
    </w:p>
    <w:p w:rsidR="006510D9" w:rsidRPr="00406888" w:rsidRDefault="006510D9" w:rsidP="00406888">
      <w:pPr>
        <w:tabs>
          <w:tab w:val="left" w:pos="384"/>
        </w:tabs>
        <w:ind w:right="117"/>
        <w:rPr>
          <w:rFonts w:ascii="Arial" w:hAnsi="Arial" w:cs="Arial"/>
          <w:sz w:val="24"/>
          <w:szCs w:val="24"/>
        </w:rPr>
      </w:pPr>
    </w:p>
    <w:p w:rsidR="006510D9" w:rsidRPr="00406888" w:rsidRDefault="006510D9" w:rsidP="00406888">
      <w:pPr>
        <w:tabs>
          <w:tab w:val="left" w:pos="384"/>
        </w:tabs>
        <w:ind w:right="117"/>
        <w:rPr>
          <w:rFonts w:ascii="Arial" w:hAnsi="Arial" w:cs="Arial"/>
          <w:sz w:val="24"/>
          <w:szCs w:val="24"/>
        </w:rPr>
      </w:pPr>
    </w:p>
    <w:sectPr w:rsidR="006510D9" w:rsidRPr="00406888" w:rsidSect="00F84426">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2E5E" w:rsidRDefault="00572E5E">
      <w:r>
        <w:separator/>
      </w:r>
    </w:p>
  </w:endnote>
  <w:endnote w:type="continuationSeparator" w:id="0">
    <w:p w:rsidR="00572E5E" w:rsidRDefault="00572E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w:panose1 w:val="020F0502020204030204"/>
    <w:charset w:val="A2"/>
    <w:family w:val="swiss"/>
    <w:pitch w:val="variable"/>
    <w:sig w:usb0="E4002EFF" w:usb1="C000247B" w:usb2="00000009" w:usb3="00000000" w:csb0="000001FF"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A2"/>
    <w:family w:val="swiss"/>
    <w:pitch w:val="variable"/>
    <w:sig w:usb0="00000287" w:usb1="00000000" w:usb2="00000000" w:usb3="00000000" w:csb0="0000009F" w:csb1="00000000"/>
  </w:font>
  <w:font w:name="Cambria Math">
    <w:panose1 w:val="02040503050406030204"/>
    <w:charset w:val="A2"/>
    <w:family w:val="roman"/>
    <w:pitch w:val="variable"/>
    <w:sig w:usb0="E00006FF" w:usb1="420024FF" w:usb2="02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087" w:rsidRDefault="001A30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406888">
    <w:pPr>
      <w:pStyle w:val="BodyText"/>
      <w:spacing w:line="14" w:lineRule="auto"/>
      <w:rPr>
        <w:sz w:val="20"/>
      </w:rPr>
    </w:pPr>
    <w:r>
      <w:rPr>
        <w:noProof/>
      </w:rPr>
      <mc:AlternateContent>
        <mc:Choice Requires="wps">
          <w:drawing>
            <wp:anchor distT="0" distB="0" distL="114300" distR="114300" simplePos="0" relativeHeight="503313000" behindDoc="0" locked="0" layoutInCell="0" allowOverlap="1">
              <wp:simplePos x="0" y="0"/>
              <wp:positionH relativeFrom="page">
                <wp:posOffset>0</wp:posOffset>
              </wp:positionH>
              <wp:positionV relativeFrom="page">
                <wp:posOffset>10229850</wp:posOffset>
              </wp:positionV>
              <wp:extent cx="7562850" cy="273050"/>
              <wp:effectExtent l="0" t="0" r="0" b="12700"/>
              <wp:wrapNone/>
              <wp:docPr id="3" name="MSIPCM11984a4bb871c0613e33ad16" descr="{&quot;HashCode&quot;:941796270,&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285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rsidR="00406888" w:rsidRPr="001A3087" w:rsidRDefault="001A3087" w:rsidP="001A3087">
                          <w:pPr>
                            <w:rPr>
                              <w:rFonts w:ascii="Calibri" w:hAnsi="Calibri" w:cs="Calibri"/>
                              <w:color w:val="008000"/>
                              <w:sz w:val="20"/>
                            </w:rPr>
                          </w:pPr>
                          <w:r>
                            <w:rPr>
                              <w:rFonts w:ascii="Calibri" w:hAnsi="Calibri" w:cs="Calibri"/>
                              <w:color w:val="008000"/>
                              <w:sz w:val="20"/>
                            </w:rPr>
                            <w:t>Veri Sınıflandırma Tipi: Genel / General</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w:pict>
            <v:shapetype id="_x0000_t202" coordsize="21600,21600" o:spt="202" path="m,l,21600r21600,l21600,xe">
              <v:stroke joinstyle="miter"/>
              <v:path gradientshapeok="t" o:connecttype="rect"/>
            </v:shapetype>
            <v:shape id="MSIPCM11984a4bb871c0613e33ad16" o:spid="_x0000_s1028" type="#_x0000_t202" alt="{&quot;HashCode&quot;:941796270,&quot;Height&quot;:842.0,&quot;Width&quot;:595.0,&quot;Placement&quot;:&quot;Footer&quot;,&quot;Index&quot;:&quot;Primary&quot;,&quot;Section&quot;:1,&quot;Top&quot;:0.0,&quot;Left&quot;:0.0}" style="position:absolute;margin-left:0;margin-top:805.5pt;width:595.5pt;height:21.5pt;z-index:5033130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" o:allowincell="f" filled="f" stroked="f" strokeweight=".5pt">
              <v:textbox inset="20pt,0,,0">
                <w:txbxContent>
                  <w:p w:rsidR="00406888" w:rsidRPr="001A3087" w:rsidRDefault="001A3087" w:rsidP="001A3087">
                    <w:pPr>
                      <w:rPr>
                        <w:rFonts w:ascii="Calibri" w:hAnsi="Calibri" w:cs="Calibri"/>
                        <w:color w:val="008000"/>
                        <w:sz w:val="20"/>
                      </w:rPr>
                    </w:pPr>
                    <w:r>
                      <w:rPr>
                        <w:rFonts w:ascii="Calibri" w:hAnsi="Calibri" w:cs="Calibri"/>
                        <w:color w:val="008000"/>
                        <w:sz w:val="20"/>
                      </w:rPr>
                      <w:t>Veri Sınıflandırma Tipi: Genel / General</w:t>
                    </w:r>
                  </w:p>
                </w:txbxContent>
              </v:textbox>
              <w10:wrap anchorx="page" anchory="page"/>
            </v:shape>
          </w:pict>
        </mc:Fallback>
      </mc:AlternateContent>
    </w:r>
    <w:r w:rsidR="00292ED9">
      <w:rPr>
        <w:noProof/>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9"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sidR="00292ED9">
      <w:rPr>
        <w:noProof/>
      </w:rPr>
      <mc:AlternateContent>
        <mc:Choice Requires="wps">
          <w:drawing>
            <wp:anchor distT="0" distB="0" distL="114300" distR="114300" simplePos="0" relativeHeight="25166950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sidR="00292ED9">
      <w:rPr>
        <w:noProof/>
      </w:rPr>
      <mc:AlternateContent>
        <mc:Choice Requires="wps">
          <w:drawing>
            <wp:anchor distT="0" distB="0" distL="114300" distR="114300" simplePos="0" relativeHeight="25167769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087" w:rsidRDefault="001A30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2E5E" w:rsidRDefault="00572E5E">
      <w:r>
        <w:separator/>
      </w:r>
    </w:p>
  </w:footnote>
  <w:footnote w:type="continuationSeparator" w:id="0">
    <w:p w:rsidR="00572E5E" w:rsidRDefault="00572E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087" w:rsidRDefault="001A30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251644928"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53120"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3087" w:rsidRDefault="001A30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55329"/>
    <w:multiLevelType w:val="hybridMultilevel"/>
    <w:tmpl w:val="CA4692E6"/>
    <w:lvl w:ilvl="0" w:tplc="498618E8">
      <w:start w:val="1"/>
      <w:numFmt w:val="decimal"/>
      <w:lvlText w:val="%1-"/>
      <w:lvlJc w:val="left"/>
      <w:pPr>
        <w:ind w:left="720" w:hanging="360"/>
      </w:pPr>
      <w:rPr>
        <w:rFonts w:ascii="Arial" w:hAnsi="Tw Cen MT" w:cs="Tw Cen MT" w:hint="default"/>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1A3087"/>
    <w:rsid w:val="001E763C"/>
    <w:rsid w:val="00292ED9"/>
    <w:rsid w:val="00314AFB"/>
    <w:rsid w:val="003B76D9"/>
    <w:rsid w:val="00404E5B"/>
    <w:rsid w:val="00406888"/>
    <w:rsid w:val="00414F7B"/>
    <w:rsid w:val="004355DC"/>
    <w:rsid w:val="004749B4"/>
    <w:rsid w:val="00494130"/>
    <w:rsid w:val="004F3523"/>
    <w:rsid w:val="00572E5E"/>
    <w:rsid w:val="005973B9"/>
    <w:rsid w:val="005B3A56"/>
    <w:rsid w:val="006060CE"/>
    <w:rsid w:val="0063497F"/>
    <w:rsid w:val="006510D9"/>
    <w:rsid w:val="0078738A"/>
    <w:rsid w:val="00873DF0"/>
    <w:rsid w:val="008756E6"/>
    <w:rsid w:val="00884B13"/>
    <w:rsid w:val="009B2D44"/>
    <w:rsid w:val="009F5F15"/>
    <w:rsid w:val="00A07E82"/>
    <w:rsid w:val="00A9710C"/>
    <w:rsid w:val="00AE3E37"/>
    <w:rsid w:val="00B21A57"/>
    <w:rsid w:val="00C33602"/>
    <w:rsid w:val="00CD6F55"/>
    <w:rsid w:val="00D62425"/>
    <w:rsid w:val="00DE3104"/>
    <w:rsid w:val="00F72EEA"/>
    <w:rsid w:val="00F8136A"/>
    <w:rsid w:val="00F84426"/>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BEC9FD"/>
  <w15:docId w15:val="{585175F8-7587-41B5-A87D-E5C33B8B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6510D9"/>
    <w:rPr>
      <w:rFonts w:ascii="Verdana" w:hAnsi="Verdana" w:hint="default"/>
      <w:b/>
      <w:bCs/>
      <w:color w:val="336699"/>
      <w:sz w:val="18"/>
      <w:szCs w:val="18"/>
    </w:rPr>
  </w:style>
  <w:style w:type="paragraph" w:customStyle="1" w:styleId="GvdeA">
    <w:name w:val="Gövde A"/>
    <w:rsid w:val="006510D9"/>
    <w:pPr>
      <w:widowControl/>
      <w:spacing w:after="160" w:line="256" w:lineRule="auto"/>
    </w:pPr>
    <w:rPr>
      <w:rFonts w:ascii="Calibri" w:eastAsia="Arial Unicode MS" w:hAnsi="Calibri" w:cs="Arial Unicode MS"/>
      <w:color w:val="000000"/>
      <w:u w:color="00000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162879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21039148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alifahirozer@gmail.com"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Hınazant Talin Özkan</cp:lastModifiedBy>
  <cp:revision>4</cp:revision>
  <cp:lastPrinted>2022-01-13T12:47:00Z</cp:lastPrinted>
  <dcterms:created xsi:type="dcterms:W3CDTF">2022-01-13T12:46:00Z</dcterms:created>
  <dcterms:modified xsi:type="dcterms:W3CDTF">2022-01-14T09:48:00Z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SIP_Label_8cdbc7bc-7315-4afd-b3fc-08b705c65f8b_Enabled">
    <vt:lpwstr>true</vt:lpwstr>
  </property>
  <property fmtid="{D5CDD505-2E9C-101B-9397-08002B2CF9AE}" pid="6" name="MSIP_Label_8cdbc7bc-7315-4afd-b3fc-08b705c65f8b_SetDate">
    <vt:lpwstr>2022-01-14T09:48:58Z</vt:lpwstr>
  </property>
  <property fmtid="{D5CDD505-2E9C-101B-9397-08002B2CF9AE}" pid="7" name="MSIP_Label_8cdbc7bc-7315-4afd-b3fc-08b705c65f8b_Method">
    <vt:lpwstr>Privileged</vt:lpwstr>
  </property>
  <property fmtid="{D5CDD505-2E9C-101B-9397-08002B2CF9AE}" pid="8" name="MSIP_Label_8cdbc7bc-7315-4afd-b3fc-08b705c65f8b_Name">
    <vt:lpwstr>8cdbc7bc-7315-4afd-b3fc-08b705c65f8b</vt:lpwstr>
  </property>
  <property fmtid="{D5CDD505-2E9C-101B-9397-08002B2CF9AE}" pid="9" name="MSIP_Label_8cdbc7bc-7315-4afd-b3fc-08b705c65f8b_SiteId">
    <vt:lpwstr>4c716f8e-6734-42c4-abdf-e0b3608538e1</vt:lpwstr>
  </property>
  <property fmtid="{D5CDD505-2E9C-101B-9397-08002B2CF9AE}" pid="10" name="MSIP_Label_8cdbc7bc-7315-4afd-b3fc-08b705c65f8b_ActionId">
    <vt:lpwstr>e4fbece7-8d1c-480a-b124-808472eb4062</vt:lpwstr>
  </property>
  <property fmtid="{D5CDD505-2E9C-101B-9397-08002B2CF9AE}" pid="11" name="MSIP_Label_8cdbc7bc-7315-4afd-b3fc-08b705c65f8b_ContentBits">
    <vt:lpwstr>2</vt:lpwstr>
  </property>
</Properties>
</file>