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75C36" w14:textId="77777777" w:rsidR="00A431B1" w:rsidRPr="00496777" w:rsidRDefault="00A431B1" w:rsidP="00A431B1">
      <w:pPr>
        <w:pStyle w:val="Heading1"/>
        <w:rPr>
          <w:rFonts w:ascii="Batang" w:eastAsia="Batang" w:hAnsi="Batang"/>
          <w:b/>
          <w:bCs/>
          <w:color w:val="000000" w:themeColor="text1"/>
          <w:sz w:val="20"/>
          <w:szCs w:val="20"/>
          <w:u w:val="single"/>
          <w:lang w:val="en-US"/>
        </w:rPr>
      </w:pPr>
      <w:r w:rsidRPr="00496777">
        <w:rPr>
          <w:rFonts w:ascii="Batang" w:eastAsia="Batang" w:hAnsi="Batang"/>
          <w:b/>
          <w:bCs/>
          <w:color w:val="000000" w:themeColor="text1"/>
          <w:sz w:val="20"/>
          <w:szCs w:val="20"/>
          <w:u w:val="single"/>
          <w:lang w:val="en-US"/>
        </w:rPr>
        <w:t xml:space="preserve">Title: </w:t>
      </w:r>
      <w:r w:rsidR="00496777">
        <w:rPr>
          <w:rFonts w:ascii="Batang" w:eastAsia="Batang" w:hAnsi="Batang"/>
          <w:b/>
          <w:bCs/>
          <w:color w:val="000000" w:themeColor="text1"/>
          <w:sz w:val="20"/>
          <w:szCs w:val="20"/>
          <w:u w:val="single"/>
          <w:lang w:val="en-US"/>
        </w:rPr>
        <w:t xml:space="preserve">Lumbar fixation </w:t>
      </w:r>
      <w:r w:rsidR="00D843C5">
        <w:rPr>
          <w:rFonts w:ascii="Batang" w:eastAsia="Batang" w:hAnsi="Batang"/>
          <w:b/>
          <w:bCs/>
          <w:color w:val="000000" w:themeColor="text1"/>
          <w:sz w:val="20"/>
          <w:szCs w:val="20"/>
          <w:u w:val="single"/>
          <w:lang w:val="en-US"/>
        </w:rPr>
        <w:t>using</w:t>
      </w:r>
      <w:r w:rsidR="000A0C64">
        <w:rPr>
          <w:rFonts w:ascii="Batang" w:eastAsia="Batang" w:hAnsi="Batang"/>
          <w:b/>
          <w:bCs/>
          <w:color w:val="000000" w:themeColor="text1"/>
          <w:sz w:val="20"/>
          <w:szCs w:val="20"/>
          <w:u w:val="single"/>
          <w:lang w:val="en-US"/>
        </w:rPr>
        <w:t xml:space="preserve"> </w:t>
      </w:r>
      <w:r w:rsidR="00496777">
        <w:rPr>
          <w:rFonts w:ascii="Batang" w:eastAsia="Batang" w:hAnsi="Batang"/>
          <w:b/>
          <w:bCs/>
          <w:color w:val="000000" w:themeColor="text1"/>
          <w:sz w:val="20"/>
          <w:szCs w:val="20"/>
          <w:u w:val="single"/>
          <w:lang w:val="en-US"/>
        </w:rPr>
        <w:t>the c</w:t>
      </w:r>
      <w:r w:rsidRPr="00496777">
        <w:rPr>
          <w:rFonts w:ascii="Batang" w:eastAsia="Batang" w:hAnsi="Batang"/>
          <w:b/>
          <w:bCs/>
          <w:color w:val="000000" w:themeColor="text1"/>
          <w:sz w:val="20"/>
          <w:szCs w:val="20"/>
          <w:u w:val="single"/>
          <w:lang w:val="en-US"/>
        </w:rPr>
        <w:t>ortical bone trajectory fixation</w:t>
      </w:r>
      <w:r w:rsidR="005D66FC">
        <w:rPr>
          <w:rFonts w:ascii="Batang" w:eastAsia="Batang" w:hAnsi="Batang"/>
          <w:b/>
          <w:bCs/>
          <w:color w:val="000000" w:themeColor="text1"/>
          <w:sz w:val="20"/>
          <w:szCs w:val="20"/>
          <w:u w:val="single"/>
          <w:lang w:val="en-US"/>
        </w:rPr>
        <w:t>.</w:t>
      </w:r>
      <w:r w:rsidRPr="00496777">
        <w:rPr>
          <w:rFonts w:ascii="Batang" w:eastAsia="Batang" w:hAnsi="Batang"/>
          <w:b/>
          <w:bCs/>
          <w:color w:val="000000" w:themeColor="text1"/>
          <w:sz w:val="20"/>
          <w:szCs w:val="20"/>
          <w:u w:val="single"/>
          <w:lang w:val="en-US"/>
        </w:rPr>
        <w:t xml:space="preserve"> A single surgeon experience with 3 year follow up.</w:t>
      </w:r>
    </w:p>
    <w:p w14:paraId="0E3942C9" w14:textId="1AC43353" w:rsidR="00B46FE9" w:rsidRPr="009C0E9C" w:rsidRDefault="00B46FE9" w:rsidP="00B46FE9">
      <w:pPr>
        <w:pStyle w:val="Heading1"/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  <w:r w:rsidRPr="009C0E9C">
        <w:rPr>
          <w:rFonts w:ascii="Batang" w:eastAsia="Batang" w:hAnsi="Batang"/>
          <w:color w:val="000000" w:themeColor="text1"/>
          <w:sz w:val="20"/>
          <w:szCs w:val="20"/>
          <w:lang w:val="en-US"/>
        </w:rPr>
        <w:t>Authors: Vasileios Arzoglou</w:t>
      </w:r>
      <w:r w:rsidRPr="009C0E9C">
        <w:rPr>
          <w:rFonts w:ascii="Batang" w:eastAsia="Batang" w:hAnsi="Batang"/>
          <w:color w:val="000000" w:themeColor="text1"/>
          <w:sz w:val="20"/>
          <w:szCs w:val="20"/>
          <w:vertAlign w:val="superscript"/>
          <w:lang w:val="en-US"/>
        </w:rPr>
        <w:t>1</w:t>
      </w:r>
      <w:r w:rsidRPr="009C0E9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, </w:t>
      </w:r>
      <w:proofErr w:type="spellStart"/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>Izziddine</w:t>
      </w:r>
      <w:proofErr w:type="spellEnd"/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Vial</w:t>
      </w:r>
      <w:r w:rsidRPr="009C0E9C">
        <w:rPr>
          <w:rFonts w:ascii="Batang" w:eastAsia="Batang" w:hAnsi="Batang"/>
          <w:color w:val="000000" w:themeColor="text1"/>
          <w:sz w:val="20"/>
          <w:szCs w:val="20"/>
          <w:vertAlign w:val="superscript"/>
          <w:lang w:val="en-US"/>
        </w:rPr>
        <w:t>2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>, Christopher Graham</w:t>
      </w:r>
      <w:r w:rsidRPr="00B46FE9">
        <w:rPr>
          <w:rFonts w:ascii="Batang" w:eastAsia="Batang" w:hAnsi="Batang"/>
          <w:color w:val="000000" w:themeColor="text1"/>
          <w:sz w:val="20"/>
          <w:szCs w:val="20"/>
          <w:vertAlign w:val="superscript"/>
          <w:lang w:val="en-US"/>
        </w:rPr>
        <w:t>1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, </w:t>
      </w:r>
      <w:r w:rsidRPr="009C0E9C">
        <w:rPr>
          <w:rFonts w:ascii="Batang" w:eastAsia="Batang" w:hAnsi="Batang"/>
          <w:color w:val="000000" w:themeColor="text1"/>
          <w:sz w:val="20"/>
          <w:szCs w:val="20"/>
          <w:lang w:val="en-US"/>
        </w:rPr>
        <w:t>Abraham Tsitlakidis</w:t>
      </w:r>
      <w:r>
        <w:rPr>
          <w:rFonts w:ascii="Batang" w:eastAsia="Batang" w:hAnsi="Batang"/>
          <w:color w:val="000000" w:themeColor="text1"/>
          <w:sz w:val="20"/>
          <w:szCs w:val="20"/>
          <w:vertAlign w:val="superscript"/>
          <w:lang w:val="en-US"/>
        </w:rPr>
        <w:t>3</w:t>
      </w:r>
    </w:p>
    <w:p w14:paraId="45C3D137" w14:textId="77777777" w:rsidR="00B46FE9" w:rsidRPr="009C0E9C" w:rsidRDefault="00B46FE9" w:rsidP="00B46FE9">
      <w:pPr>
        <w:rPr>
          <w:rFonts w:ascii="Batang" w:eastAsia="Batang" w:hAnsi="Batang"/>
          <w:sz w:val="20"/>
          <w:szCs w:val="20"/>
          <w:lang w:val="en-US"/>
        </w:rPr>
      </w:pPr>
    </w:p>
    <w:p w14:paraId="043E0DAA" w14:textId="77777777" w:rsidR="00B46FE9" w:rsidRPr="00774F7C" w:rsidRDefault="00B46FE9" w:rsidP="00B46FE9">
      <w:pPr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  <w:r w:rsidRPr="00774F7C">
        <w:rPr>
          <w:rFonts w:ascii="Batang" w:eastAsia="Batang" w:hAnsi="Batang"/>
          <w:color w:val="000000" w:themeColor="text1"/>
          <w:sz w:val="20"/>
          <w:szCs w:val="20"/>
          <w:lang w:val="en-US"/>
        </w:rPr>
        <w:t>Affiliations</w:t>
      </w:r>
    </w:p>
    <w:p w14:paraId="5B9EEEB3" w14:textId="77777777" w:rsidR="00B46FE9" w:rsidRPr="00774F7C" w:rsidRDefault="00B46FE9" w:rsidP="00B46FE9">
      <w:pPr>
        <w:pStyle w:val="ListParagraph"/>
        <w:numPr>
          <w:ilvl w:val="0"/>
          <w:numId w:val="5"/>
        </w:numPr>
        <w:rPr>
          <w:rFonts w:ascii="Batang" w:eastAsia="Batang" w:hAnsi="Batang"/>
          <w:sz w:val="20"/>
          <w:szCs w:val="20"/>
          <w:lang w:val="en-GB"/>
        </w:rPr>
      </w:pPr>
      <w:r w:rsidRPr="00774F7C">
        <w:rPr>
          <w:rFonts w:ascii="Batang" w:eastAsia="Batang" w:hAnsi="Batang"/>
          <w:color w:val="000000" w:themeColor="text1"/>
          <w:sz w:val="20"/>
          <w:szCs w:val="20"/>
          <w:lang w:val="en-US"/>
        </w:rPr>
        <w:t>Hull University Teaching Hospitals, Hull, United Kingdom</w:t>
      </w:r>
    </w:p>
    <w:p w14:paraId="7B382EDA" w14:textId="77777777" w:rsidR="00B46FE9" w:rsidRPr="00774F7C" w:rsidRDefault="00B46FE9" w:rsidP="00B46FE9">
      <w:pPr>
        <w:pStyle w:val="ListParagraph"/>
        <w:numPr>
          <w:ilvl w:val="0"/>
          <w:numId w:val="5"/>
        </w:numPr>
        <w:rPr>
          <w:rFonts w:ascii="Batang" w:eastAsia="Batang" w:hAnsi="Batang"/>
          <w:sz w:val="20"/>
          <w:szCs w:val="20"/>
          <w:lang w:val="en-GB"/>
        </w:rPr>
      </w:pPr>
      <w:r w:rsidRPr="00774F7C">
        <w:rPr>
          <w:rFonts w:ascii="Batang" w:eastAsia="Batang" w:hAnsi="Batang"/>
          <w:color w:val="111111"/>
          <w:sz w:val="20"/>
          <w:szCs w:val="20"/>
          <w:lang w:val="en-GB"/>
        </w:rPr>
        <w:t>Hull York Medical School, Department of clinical anatomy, Hull, United Kingdom</w:t>
      </w:r>
    </w:p>
    <w:p w14:paraId="356A5BA1" w14:textId="77777777" w:rsidR="00B46FE9" w:rsidRPr="00774F7C" w:rsidRDefault="00B46FE9" w:rsidP="00B46FE9">
      <w:pPr>
        <w:pStyle w:val="ListParagraph"/>
        <w:numPr>
          <w:ilvl w:val="0"/>
          <w:numId w:val="5"/>
        </w:numPr>
        <w:rPr>
          <w:rFonts w:ascii="Batang" w:eastAsia="Batang" w:hAnsi="Batang"/>
          <w:sz w:val="20"/>
          <w:szCs w:val="20"/>
          <w:lang w:val="en-GB"/>
        </w:rPr>
      </w:pPr>
      <w:r w:rsidRPr="00774F7C">
        <w:rPr>
          <w:rFonts w:ascii="Batang" w:eastAsia="Batang" w:hAnsi="Batang"/>
          <w:color w:val="000000"/>
          <w:sz w:val="20"/>
          <w:szCs w:val="20"/>
          <w:shd w:val="clear" w:color="auto" w:fill="FFFFFF"/>
          <w:lang w:val="en-GB"/>
        </w:rPr>
        <w:t>AHEPA University Hospital, Aristotle University of Thessaloniki and</w:t>
      </w:r>
      <w:r w:rsidRPr="00774F7C">
        <w:rPr>
          <w:rFonts w:ascii="Batang" w:eastAsia="Batang" w:hAnsi="Batang"/>
          <w:color w:val="111111"/>
          <w:sz w:val="20"/>
          <w:szCs w:val="20"/>
          <w:lang w:val="en-GB"/>
        </w:rPr>
        <w:t xml:space="preserve"> independent scholar, Thessaloniki, Greece </w:t>
      </w:r>
    </w:p>
    <w:p w14:paraId="4C4A01D6" w14:textId="77777777" w:rsidR="00B46FE9" w:rsidRPr="009C0E9C" w:rsidRDefault="00B46FE9" w:rsidP="00B46FE9">
      <w:pPr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  <w:r w:rsidRPr="009C0E9C">
        <w:rPr>
          <w:rFonts w:ascii="Batang" w:eastAsia="Batang" w:hAnsi="Batang"/>
          <w:color w:val="000000" w:themeColor="text1"/>
          <w:sz w:val="20"/>
          <w:szCs w:val="20"/>
          <w:lang w:val="en-US"/>
        </w:rPr>
        <w:t>Corresponding author: Vasileios Arzoglou, Consultant Neurosurgeon, Hull University Teaching Hospitals, Hull Royal Infirmary, Hull, HU3 2JZ, United Kingdom</w:t>
      </w:r>
    </w:p>
    <w:p w14:paraId="4E353A1F" w14:textId="49DD58B7" w:rsidR="00B46FE9" w:rsidRPr="009C0E9C" w:rsidRDefault="00957615" w:rsidP="00B46FE9">
      <w:pPr>
        <w:rPr>
          <w:rFonts w:ascii="Batang" w:eastAsia="Batang" w:hAnsi="Batang"/>
          <w:color w:val="5B9BD5" w:themeColor="accent1"/>
          <w:sz w:val="20"/>
          <w:szCs w:val="20"/>
          <w:u w:val="single"/>
          <w:lang w:val="en-US"/>
        </w:rPr>
      </w:pPr>
      <w:hyperlink r:id="rId11" w:history="1">
        <w:r w:rsidR="00D21379">
          <w:rPr>
            <w:rStyle w:val="Hyperlink"/>
            <w:rFonts w:ascii="Batang" w:eastAsia="Batang" w:hAnsi="Batang"/>
            <w:color w:val="0070C0"/>
            <w:sz w:val="20"/>
            <w:szCs w:val="20"/>
            <w:lang w:val="en-US"/>
          </w:rPr>
          <w:t>vasileios.arzoglou@nhs.net</w:t>
        </w:r>
      </w:hyperlink>
    </w:p>
    <w:p w14:paraId="48D7932B" w14:textId="77777777" w:rsidR="008B0E01" w:rsidRPr="00496777" w:rsidRDefault="008B0E01" w:rsidP="004E7999">
      <w:pPr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</w:p>
    <w:p w14:paraId="1135A247" w14:textId="77777777" w:rsidR="005D66FC" w:rsidRDefault="005D66FC">
      <w:pPr>
        <w:spacing w:after="160" w:line="259" w:lineRule="auto"/>
        <w:rPr>
          <w:rFonts w:ascii="Batang" w:eastAsia="Batang" w:hAnsi="Batang" w:cstheme="majorBidi"/>
          <w:color w:val="000000" w:themeColor="text1"/>
          <w:sz w:val="20"/>
          <w:szCs w:val="20"/>
          <w:lang w:val="en-US" w:eastAsia="en-US"/>
        </w:rPr>
      </w:pP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br w:type="page"/>
      </w:r>
    </w:p>
    <w:p w14:paraId="519F4679" w14:textId="77777777" w:rsidR="00D31DCA" w:rsidRPr="00496777" w:rsidRDefault="00D31DCA" w:rsidP="00D31DCA">
      <w:pPr>
        <w:pStyle w:val="Heading1"/>
        <w:jc w:val="center"/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  <w:r w:rsidRPr="00496777">
        <w:rPr>
          <w:rFonts w:ascii="Batang" w:eastAsia="Batang" w:hAnsi="Batang"/>
          <w:color w:val="000000" w:themeColor="text1"/>
          <w:sz w:val="20"/>
          <w:szCs w:val="20"/>
          <w:lang w:val="en-US"/>
        </w:rPr>
        <w:lastRenderedPageBreak/>
        <w:t>Abstract</w:t>
      </w:r>
    </w:p>
    <w:p w14:paraId="665F7123" w14:textId="77777777" w:rsidR="003B2E10" w:rsidRPr="000133FC" w:rsidRDefault="003B2E10" w:rsidP="003B2E10">
      <w:pPr>
        <w:jc w:val="both"/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</w:pPr>
      <w:r w:rsidRPr="000133FC">
        <w:rPr>
          <w:rFonts w:ascii="Batang" w:eastAsia="Batang" w:hAnsi="Batang"/>
          <w:b/>
          <w:color w:val="000000" w:themeColor="text1"/>
          <w:sz w:val="20"/>
          <w:szCs w:val="20"/>
          <w:lang w:val="en-US"/>
        </w:rPr>
        <w:t xml:space="preserve">Objective </w:t>
      </w:r>
      <w:r w:rsidRPr="000133FC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>Pedicle screw fixation with a cortical bone trajectory (CBT) has emerged as an effective alternative to traditional techniques of lumbar fusion especially in the osteoporotic p</w:t>
      </w:r>
      <w:r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>atients</w:t>
      </w:r>
      <w:r w:rsidRPr="000133FC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 xml:space="preserve">. The </w:t>
      </w:r>
      <w:r w:rsidRPr="000133FC">
        <w:rPr>
          <w:rFonts w:ascii="Batang" w:eastAsia="Batang" w:hAnsi="Batang" w:cs="Arial"/>
          <w:color w:val="000000" w:themeColor="text1"/>
          <w:sz w:val="20"/>
          <w:szCs w:val="20"/>
          <w:shd w:val="clear" w:color="auto" w:fill="FFFFFF"/>
        </w:rPr>
        <w:t xml:space="preserve">proposed benefits of CBT screws include a stronger grip in the elderly and </w:t>
      </w:r>
      <w:r w:rsidRPr="000133FC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>osteoporotic population and</w:t>
      </w:r>
      <w:r w:rsidRPr="000133FC">
        <w:rPr>
          <w:rFonts w:ascii="Batang" w:eastAsia="Batang" w:hAnsi="Batang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Batang" w:eastAsia="Batang" w:hAnsi="Batang" w:cs="Arial"/>
          <w:color w:val="000000" w:themeColor="text1"/>
          <w:sz w:val="20"/>
          <w:szCs w:val="20"/>
          <w:shd w:val="clear" w:color="auto" w:fill="FFFFFF"/>
        </w:rPr>
        <w:t>low</w:t>
      </w:r>
      <w:r w:rsidRPr="000133FC">
        <w:rPr>
          <w:rFonts w:ascii="Batang" w:eastAsia="Batang" w:hAnsi="Batang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Batang" w:eastAsia="Batang" w:hAnsi="Batang" w:cs="Arial"/>
          <w:color w:val="000000" w:themeColor="text1"/>
          <w:sz w:val="20"/>
          <w:szCs w:val="20"/>
          <w:shd w:val="clear" w:color="auto" w:fill="FFFFFF"/>
        </w:rPr>
        <w:t>surgical</w:t>
      </w:r>
      <w:r w:rsidRPr="000133FC">
        <w:rPr>
          <w:rFonts w:ascii="Batang" w:eastAsia="Batang" w:hAnsi="Batang" w:cs="Arial"/>
          <w:color w:val="000000" w:themeColor="text1"/>
          <w:sz w:val="20"/>
          <w:szCs w:val="20"/>
          <w:shd w:val="clear" w:color="auto" w:fill="FFFFFF"/>
        </w:rPr>
        <w:t xml:space="preserve"> morbidity</w:t>
      </w:r>
      <w:r w:rsidRPr="000133FC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fldChar w:fldCharType="begin">
          <w:fldData xml:space="preserve">PEVuZE5vdGU+PENpdGU+PEF1dGhvcj5EYWJib3VzPC9BdXRob3I+PFllYXI+MjAxNjwvWWVhcj48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</w:fldData>
        </w:fldChar>
      </w:r>
      <w:r w:rsidRPr="0085350B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instrText xml:space="preserve"> ADDIN EN.CITE </w:instrText>
      </w:r>
      <w:r w:rsidRPr="0085350B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fldChar w:fldCharType="begin">
          <w:fldData xml:space="preserve">PEVuZE5vdGU+PENpdGU+PEF1dGhvcj5EYWJib3VzPC9BdXRob3I+PFllYXI+MjAxNjwvWWVhcj48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</w:fldData>
        </w:fldChar>
      </w:r>
      <w:r w:rsidRPr="0085350B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instrText xml:space="preserve"> ADDIN EN.CITE.DATA </w:instrText>
      </w:r>
      <w:r w:rsidRPr="0085350B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</w:r>
      <w:r w:rsidRPr="0085350B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fldChar w:fldCharType="end"/>
      </w:r>
      <w:r w:rsidRPr="000133FC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</w:r>
      <w:r w:rsidRPr="000133FC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fldChar w:fldCharType="end"/>
      </w:r>
      <w:r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>.</w:t>
      </w:r>
      <w:r w:rsidRPr="000133FC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 xml:space="preserve"> We present a prospective study with a 3-year follow up of 80 patients operated by the same surgeon.</w:t>
      </w:r>
    </w:p>
    <w:p w14:paraId="76843C1B" w14:textId="77777777" w:rsidR="003B2E10" w:rsidRPr="002D6663" w:rsidRDefault="003B2E10" w:rsidP="003B2E10">
      <w:pPr>
        <w:jc w:val="both"/>
        <w:rPr>
          <w:rFonts w:ascii="Batang" w:eastAsia="Batang" w:hAnsi="Batang"/>
          <w:color w:val="000000" w:themeColor="text1"/>
          <w:sz w:val="20"/>
          <w:szCs w:val="20"/>
          <w:highlight w:val="yellow"/>
          <w:lang w:val="en-US"/>
        </w:rPr>
      </w:pPr>
    </w:p>
    <w:p w14:paraId="4A02C355" w14:textId="77777777" w:rsidR="003B2E10" w:rsidRPr="00E720EC" w:rsidRDefault="003B2E10" w:rsidP="003B2E10">
      <w:pPr>
        <w:jc w:val="both"/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  <w:r w:rsidRPr="00E720EC">
        <w:rPr>
          <w:rFonts w:ascii="Batang" w:eastAsia="Batang" w:hAnsi="Batang"/>
          <w:b/>
          <w:color w:val="000000" w:themeColor="text1"/>
          <w:sz w:val="20"/>
          <w:szCs w:val="20"/>
          <w:lang w:val="en-US"/>
        </w:rPr>
        <w:t>Material – Method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Eighty patients submitted in lumbar fusion 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using the cortical bone trajectory fixation 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by the same surgeon were included in the study. The outcomes, </w:t>
      </w:r>
      <w:proofErr w:type="spellStart"/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Oswestry</w:t>
      </w:r>
      <w:proofErr w:type="spellEnd"/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disability index (ODI), back pain visual analogue scale (VAS), leg pain VAS, walking distance, opioid use, non-opioid analgesia use and </w:t>
      </w:r>
      <w:proofErr w:type="spellStart"/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Euroqol</w:t>
      </w:r>
      <w:proofErr w:type="spellEnd"/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5D-5L index, were measured pre-operatively and during the 1- and 3-years post-operative follow-up visit. Time from surgery, indication for surgery, intervertebral cage insertion, BMI and their interactions were analyzed as predictors in a separate mixed-effects model for each outcome.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We assess</w:t>
      </w:r>
      <w:r w:rsidR="003179D0">
        <w:rPr>
          <w:rFonts w:ascii="Batang" w:eastAsia="Batang" w:hAnsi="Batang"/>
          <w:color w:val="000000" w:themeColor="text1"/>
          <w:sz w:val="20"/>
          <w:szCs w:val="20"/>
          <w:lang w:val="en-US"/>
        </w:rPr>
        <w:t>ed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all outcomes as one group of patients but we also </w:t>
      </w:r>
      <w:r w:rsidRPr="000133FC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 xml:space="preserve">elaborate on a classification scheme </w:t>
      </w:r>
      <w:r w:rsidRPr="000133F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based on a combination of radiological and dynamical assessment of micro-instability, macro-instability and 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>spondylolisthesis</w:t>
      </w:r>
      <w:r w:rsidR="003179D0">
        <w:rPr>
          <w:rFonts w:ascii="Batang" w:eastAsia="Batang" w:hAnsi="Batang"/>
          <w:color w:val="000000" w:themeColor="text1"/>
          <w:sz w:val="20"/>
          <w:szCs w:val="20"/>
          <w:lang w:val="en-US"/>
        </w:rPr>
        <w:t>.</w:t>
      </w:r>
    </w:p>
    <w:p w14:paraId="670C6087" w14:textId="77777777" w:rsidR="003B2E10" w:rsidRPr="00E720EC" w:rsidRDefault="003B2E10" w:rsidP="003B2E10">
      <w:pPr>
        <w:jc w:val="both"/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</w:p>
    <w:p w14:paraId="60E01446" w14:textId="77777777" w:rsidR="003B2E10" w:rsidRPr="00E720EC" w:rsidRDefault="003B2E10" w:rsidP="003B2E10">
      <w:pPr>
        <w:jc w:val="both"/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  <w:r w:rsidRPr="00E720EC">
        <w:rPr>
          <w:rFonts w:ascii="Batang" w:eastAsia="Batang" w:hAnsi="Batang"/>
          <w:b/>
          <w:color w:val="000000" w:themeColor="text1"/>
          <w:sz w:val="20"/>
          <w:szCs w:val="20"/>
          <w:lang w:val="en-US"/>
        </w:rPr>
        <w:t>Results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The relationship between the outcomes and time showed considerable inter-patient heterogeneity, as all intercepts (all </w:t>
      </w:r>
      <w:r w:rsidRPr="00E720EC">
        <w:rPr>
          <w:rFonts w:ascii="Batang" w:eastAsia="Batang" w:hAnsi="Batang"/>
          <w:i/>
          <w:color w:val="000000" w:themeColor="text1"/>
          <w:sz w:val="20"/>
          <w:szCs w:val="20"/>
          <w:lang w:val="en-US"/>
        </w:rPr>
        <w:t>p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&lt;.001) and the linear trend temporal slopes for walking distance (</w:t>
      </w:r>
      <w:r w:rsidRPr="00E720EC">
        <w:rPr>
          <w:rFonts w:ascii="Batang" w:eastAsia="Batang" w:hAnsi="Batang"/>
          <w:i/>
          <w:color w:val="000000" w:themeColor="text1"/>
          <w:sz w:val="20"/>
          <w:szCs w:val="20"/>
          <w:lang w:val="en-US"/>
        </w:rPr>
        <w:t>p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=.019) and non-opioid analgesics use (</w:t>
      </w:r>
      <w:r w:rsidRPr="00E720EC">
        <w:rPr>
          <w:rFonts w:ascii="Batang" w:eastAsia="Batang" w:hAnsi="Batang"/>
          <w:i/>
          <w:color w:val="000000" w:themeColor="text1"/>
          <w:sz w:val="20"/>
          <w:szCs w:val="20"/>
          <w:lang w:val="en-US"/>
        </w:rPr>
        <w:t>p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&lt;.001) varied across patients. The intercepts and the linear trend slopes for non-opioid use were significantly correlated (</w:t>
      </w:r>
      <w:r w:rsidRPr="00E720EC">
        <w:rPr>
          <w:rFonts w:ascii="Batang" w:eastAsia="Batang" w:hAnsi="Batang"/>
          <w:i/>
          <w:color w:val="000000" w:themeColor="text1"/>
          <w:sz w:val="20"/>
          <w:szCs w:val="20"/>
          <w:lang w:val="en-US"/>
        </w:rPr>
        <w:t>p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=.039). Time from surgery significantly predicted all outcomes (p&lt;.001). Intervertebral cage insertion was associated with significantly less opioid use (</w:t>
      </w:r>
      <w:r w:rsidRPr="00E720EC">
        <w:rPr>
          <w:rFonts w:ascii="Batang" w:eastAsia="Batang" w:hAnsi="Batang"/>
          <w:i/>
          <w:color w:val="000000" w:themeColor="text1"/>
          <w:sz w:val="20"/>
          <w:szCs w:val="20"/>
          <w:lang w:val="en-US"/>
        </w:rPr>
        <w:t>p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=.017). The indication for surgery significantly modified the effect of time on the ODI (</w:t>
      </w:r>
      <w:r w:rsidRPr="00E720EC">
        <w:rPr>
          <w:rFonts w:ascii="Batang" w:eastAsia="Batang" w:hAnsi="Batang"/>
          <w:i/>
          <w:color w:val="000000" w:themeColor="text1"/>
          <w:sz w:val="20"/>
          <w:szCs w:val="20"/>
          <w:lang w:val="en-US"/>
        </w:rPr>
        <w:t>p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=.042) and the VAS for leg pain (</w:t>
      </w:r>
      <w:r w:rsidRPr="00E720EC">
        <w:rPr>
          <w:rFonts w:ascii="Batang" w:eastAsia="Batang" w:hAnsi="Batang"/>
          <w:i/>
          <w:color w:val="000000" w:themeColor="text1"/>
          <w:sz w:val="20"/>
          <w:szCs w:val="20"/>
          <w:lang w:val="en-US"/>
        </w:rPr>
        <w:t>p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=.025). Moreover, higher BMI was also associated with a significantly steeper linear trend in the VAS for leg pain (</w:t>
      </w:r>
      <w:r w:rsidRPr="00E720EC">
        <w:rPr>
          <w:rFonts w:ascii="Batang" w:eastAsia="Batang" w:hAnsi="Batang"/>
          <w:i/>
          <w:color w:val="000000" w:themeColor="text1"/>
          <w:sz w:val="20"/>
          <w:szCs w:val="20"/>
          <w:lang w:val="en-US"/>
        </w:rPr>
        <w:t>p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=.028). Among patients with </w:t>
      </w:r>
      <w:proofErr w:type="spellStart"/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microinstability</w:t>
      </w:r>
      <w:proofErr w:type="spellEnd"/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, the linear trend for the </w:t>
      </w:r>
      <w:proofErr w:type="spellStart"/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Euroqol</w:t>
      </w:r>
      <w:proofErr w:type="spellEnd"/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5D-5L index was significantly steeper with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>,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rather than without spondylolisthesis (</w:t>
      </w:r>
      <w:r w:rsidRPr="00E720EC">
        <w:rPr>
          <w:rFonts w:ascii="Batang" w:eastAsia="Batang" w:hAnsi="Batang"/>
          <w:i/>
          <w:color w:val="000000" w:themeColor="text1"/>
          <w:sz w:val="20"/>
          <w:szCs w:val="20"/>
          <w:lang w:val="en-US"/>
        </w:rPr>
        <w:t>p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=.024).</w:t>
      </w:r>
    </w:p>
    <w:p w14:paraId="0F76BD97" w14:textId="77777777" w:rsidR="003B2E10" w:rsidRPr="00E720EC" w:rsidRDefault="003B2E10" w:rsidP="003B2E10">
      <w:pPr>
        <w:jc w:val="both"/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</w:p>
    <w:p w14:paraId="5953FC81" w14:textId="77777777" w:rsidR="003B2E10" w:rsidRPr="00496777" w:rsidRDefault="003B2E10" w:rsidP="003B2E10">
      <w:pPr>
        <w:pStyle w:val="Heading3"/>
        <w:jc w:val="both"/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  <w:r w:rsidRPr="00E720EC">
        <w:rPr>
          <w:rFonts w:ascii="Batang" w:eastAsia="Batang" w:hAnsi="Batang"/>
          <w:b/>
          <w:color w:val="000000" w:themeColor="text1"/>
          <w:sz w:val="20"/>
          <w:szCs w:val="20"/>
          <w:lang w:val="en-US"/>
        </w:rPr>
        <w:t>Conclusions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In all patients who underwent CBT based lumbar fusion, 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there was 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a steep trend towards improvement in terms of ODI, VAS score for leg pain and opioid use at 1 year following surgery. 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>Patients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with normal BMI and micro-instability alone 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>had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a decline in 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the rate of 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improvement at 3 years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while the rest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continue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>d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 xml:space="preserve"> to show improvement at 3 years post-procedure. </w:t>
      </w:r>
      <w:r>
        <w:rPr>
          <w:rFonts w:ascii="Batang" w:eastAsia="Batang" w:hAnsi="Batang"/>
          <w:color w:val="000000" w:themeColor="text1"/>
          <w:sz w:val="20"/>
          <w:szCs w:val="20"/>
          <w:lang w:val="en-US"/>
        </w:rPr>
        <w:t>Spinal fixation and fusion using CBT shows satisfactory outcomes. Larger series and a double-blind randomized trial would be helpful for further identifying the pros and cons of this technique</w:t>
      </w:r>
      <w:r w:rsidRPr="00E720EC">
        <w:rPr>
          <w:rFonts w:ascii="Batang" w:eastAsia="Batang" w:hAnsi="Batang"/>
          <w:color w:val="000000" w:themeColor="text1"/>
          <w:sz w:val="20"/>
          <w:szCs w:val="20"/>
          <w:lang w:val="en-US"/>
        </w:rPr>
        <w:t>.</w:t>
      </w:r>
    </w:p>
    <w:p w14:paraId="060AD8FA" w14:textId="77777777" w:rsidR="00D31DCA" w:rsidRPr="00496777" w:rsidRDefault="00D31DCA" w:rsidP="00D31DCA">
      <w:pPr>
        <w:jc w:val="both"/>
        <w:rPr>
          <w:rFonts w:ascii="Batang" w:eastAsia="Batang" w:hAnsi="Batang"/>
          <w:color w:val="000000" w:themeColor="text1"/>
          <w:sz w:val="20"/>
          <w:szCs w:val="20"/>
          <w:lang w:val="en-US"/>
        </w:rPr>
      </w:pPr>
    </w:p>
    <w:p w14:paraId="6932A8D0" w14:textId="77777777" w:rsidR="00D31DCA" w:rsidRDefault="00D31DCA" w:rsidP="00D31DCA">
      <w:pPr>
        <w:jc w:val="both"/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</w:pPr>
      <w:r w:rsidRPr="00496777">
        <w:rPr>
          <w:rFonts w:ascii="Batang" w:eastAsia="Batang" w:hAnsi="Batang"/>
          <w:b/>
          <w:color w:val="000000" w:themeColor="text1"/>
          <w:sz w:val="20"/>
          <w:szCs w:val="20"/>
          <w:lang w:val="en-US"/>
        </w:rPr>
        <w:t>Keywords:</w:t>
      </w:r>
      <w:r w:rsidRPr="00496777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 xml:space="preserve"> cortical bone trajectory, spondylolisthesis, micro</w:t>
      </w:r>
      <w:r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>-</w:t>
      </w:r>
      <w:r w:rsidRPr="00496777">
        <w:rPr>
          <w:rFonts w:ascii="Batang" w:eastAsia="Batang" w:hAnsi="Batang"/>
          <w:bCs/>
          <w:color w:val="000000" w:themeColor="text1"/>
          <w:sz w:val="20"/>
          <w:szCs w:val="20"/>
          <w:lang w:val="en-US"/>
        </w:rPr>
        <w:t>instability</w:t>
      </w:r>
    </w:p>
    <w:p w14:paraId="57832407" w14:textId="0211D649" w:rsidR="00D31DCA" w:rsidRDefault="00D31DCA" w:rsidP="00D31DCA">
      <w:pPr>
        <w:rPr>
          <w:rFonts w:eastAsia="Batang"/>
          <w:lang w:val="en-US"/>
        </w:rPr>
      </w:pPr>
    </w:p>
    <w:sectPr w:rsidR="00D31DCA"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2CF60" w14:textId="77777777" w:rsidR="00957615" w:rsidRDefault="00957615" w:rsidP="00D31DCA">
      <w:r>
        <w:separator/>
      </w:r>
    </w:p>
  </w:endnote>
  <w:endnote w:type="continuationSeparator" w:id="0">
    <w:p w14:paraId="0376B062" w14:textId="77777777" w:rsidR="00957615" w:rsidRDefault="00957615" w:rsidP="00D31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261073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7BEC02" w14:textId="77777777" w:rsidR="00D31DCA" w:rsidRDefault="00D31DCA" w:rsidP="004E3D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619F8D1" w14:textId="77777777" w:rsidR="00D31DCA" w:rsidRDefault="00D31DCA" w:rsidP="00D31D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36027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4C5752" w14:textId="77777777" w:rsidR="00D31DCA" w:rsidRDefault="00D31DCA" w:rsidP="004E3D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558AB"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3ABEDC86" w14:textId="77777777" w:rsidR="00D31DCA" w:rsidRDefault="00D31DCA" w:rsidP="00D31D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B9B4D" w14:textId="77777777" w:rsidR="00957615" w:rsidRDefault="00957615" w:rsidP="00D31DCA">
      <w:r>
        <w:separator/>
      </w:r>
    </w:p>
  </w:footnote>
  <w:footnote w:type="continuationSeparator" w:id="0">
    <w:p w14:paraId="16D87067" w14:textId="77777777" w:rsidR="00957615" w:rsidRDefault="00957615" w:rsidP="00D31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420C"/>
    <w:multiLevelType w:val="hybridMultilevel"/>
    <w:tmpl w:val="091830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324FB"/>
    <w:multiLevelType w:val="hybridMultilevel"/>
    <w:tmpl w:val="EBA23E6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9405F"/>
    <w:multiLevelType w:val="hybridMultilevel"/>
    <w:tmpl w:val="80746E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D4F9B"/>
    <w:multiLevelType w:val="hybridMultilevel"/>
    <w:tmpl w:val="091830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849FF"/>
    <w:multiLevelType w:val="hybridMultilevel"/>
    <w:tmpl w:val="091830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s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rswzpfatvp2lee2d7v9tvwwtwr00pvtpes&quot;&gt;My EndNote Library&lt;record-ids&gt;&lt;item&gt;11&lt;/item&gt;&lt;item&gt;12&lt;/item&gt;&lt;item&gt;14&lt;/item&gt;&lt;item&gt;15&lt;/item&gt;&lt;item&gt;16&lt;/item&gt;&lt;item&gt;17&lt;/item&gt;&lt;/record-ids&gt;&lt;/item&gt;&lt;/Libraries&gt;"/>
  </w:docVars>
  <w:rsids>
    <w:rsidRoot w:val="00F01FA2"/>
    <w:rsid w:val="0001178C"/>
    <w:rsid w:val="000133FC"/>
    <w:rsid w:val="00030EA7"/>
    <w:rsid w:val="00031F56"/>
    <w:rsid w:val="00036CD0"/>
    <w:rsid w:val="00042A99"/>
    <w:rsid w:val="00075CF6"/>
    <w:rsid w:val="00085B55"/>
    <w:rsid w:val="00091484"/>
    <w:rsid w:val="000A0C64"/>
    <w:rsid w:val="000D63A1"/>
    <w:rsid w:val="000E0563"/>
    <w:rsid w:val="000E2043"/>
    <w:rsid w:val="000E6382"/>
    <w:rsid w:val="000E7BD8"/>
    <w:rsid w:val="00100BE4"/>
    <w:rsid w:val="001124FD"/>
    <w:rsid w:val="00127622"/>
    <w:rsid w:val="00133188"/>
    <w:rsid w:val="00150686"/>
    <w:rsid w:val="00155F19"/>
    <w:rsid w:val="00157D5B"/>
    <w:rsid w:val="00180746"/>
    <w:rsid w:val="00191954"/>
    <w:rsid w:val="00197714"/>
    <w:rsid w:val="001A5E06"/>
    <w:rsid w:val="001A6204"/>
    <w:rsid w:val="001B245F"/>
    <w:rsid w:val="001B3A00"/>
    <w:rsid w:val="001B7BA2"/>
    <w:rsid w:val="00201DF4"/>
    <w:rsid w:val="00206841"/>
    <w:rsid w:val="00230E7A"/>
    <w:rsid w:val="00252610"/>
    <w:rsid w:val="0026521C"/>
    <w:rsid w:val="00271499"/>
    <w:rsid w:val="002732CB"/>
    <w:rsid w:val="00297DE1"/>
    <w:rsid w:val="002D6663"/>
    <w:rsid w:val="002E5234"/>
    <w:rsid w:val="002F42C5"/>
    <w:rsid w:val="00300F12"/>
    <w:rsid w:val="00301BDF"/>
    <w:rsid w:val="00301FEE"/>
    <w:rsid w:val="003179D0"/>
    <w:rsid w:val="00340A3D"/>
    <w:rsid w:val="00354C6D"/>
    <w:rsid w:val="00362C83"/>
    <w:rsid w:val="00364158"/>
    <w:rsid w:val="00372EC7"/>
    <w:rsid w:val="0037563E"/>
    <w:rsid w:val="003A175D"/>
    <w:rsid w:val="003B2E10"/>
    <w:rsid w:val="003C0004"/>
    <w:rsid w:val="003C2ACB"/>
    <w:rsid w:val="003D7903"/>
    <w:rsid w:val="003F3C22"/>
    <w:rsid w:val="00427EB6"/>
    <w:rsid w:val="004362EE"/>
    <w:rsid w:val="00456801"/>
    <w:rsid w:val="00476381"/>
    <w:rsid w:val="004815A2"/>
    <w:rsid w:val="00496777"/>
    <w:rsid w:val="004A3657"/>
    <w:rsid w:val="004B3566"/>
    <w:rsid w:val="004C7EBA"/>
    <w:rsid w:val="004D08A8"/>
    <w:rsid w:val="004D4986"/>
    <w:rsid w:val="004E2D5B"/>
    <w:rsid w:val="004E60ED"/>
    <w:rsid w:val="004E7999"/>
    <w:rsid w:val="004F2EC6"/>
    <w:rsid w:val="004F5619"/>
    <w:rsid w:val="00512595"/>
    <w:rsid w:val="00526F5E"/>
    <w:rsid w:val="00534FB8"/>
    <w:rsid w:val="00540EEF"/>
    <w:rsid w:val="00541DF6"/>
    <w:rsid w:val="00561D00"/>
    <w:rsid w:val="005A2131"/>
    <w:rsid w:val="005A445E"/>
    <w:rsid w:val="005B0197"/>
    <w:rsid w:val="005C2FAB"/>
    <w:rsid w:val="005C327B"/>
    <w:rsid w:val="005D0D95"/>
    <w:rsid w:val="005D44A0"/>
    <w:rsid w:val="005D66FC"/>
    <w:rsid w:val="005E2D16"/>
    <w:rsid w:val="005E41A4"/>
    <w:rsid w:val="005F479E"/>
    <w:rsid w:val="00600609"/>
    <w:rsid w:val="00646971"/>
    <w:rsid w:val="00666044"/>
    <w:rsid w:val="00690AF4"/>
    <w:rsid w:val="006B01EA"/>
    <w:rsid w:val="006C075D"/>
    <w:rsid w:val="006E6CB4"/>
    <w:rsid w:val="006F3AAB"/>
    <w:rsid w:val="006F4B55"/>
    <w:rsid w:val="00714761"/>
    <w:rsid w:val="00721616"/>
    <w:rsid w:val="00730B4C"/>
    <w:rsid w:val="00742E55"/>
    <w:rsid w:val="00756CE5"/>
    <w:rsid w:val="00761235"/>
    <w:rsid w:val="0077615A"/>
    <w:rsid w:val="007B0753"/>
    <w:rsid w:val="007C0F91"/>
    <w:rsid w:val="007C0FE1"/>
    <w:rsid w:val="007C55FD"/>
    <w:rsid w:val="007C6F33"/>
    <w:rsid w:val="007F010D"/>
    <w:rsid w:val="007F07E5"/>
    <w:rsid w:val="007F2676"/>
    <w:rsid w:val="008108D4"/>
    <w:rsid w:val="008118E4"/>
    <w:rsid w:val="00822594"/>
    <w:rsid w:val="00834C2D"/>
    <w:rsid w:val="00841301"/>
    <w:rsid w:val="008534B0"/>
    <w:rsid w:val="0085350B"/>
    <w:rsid w:val="008558AB"/>
    <w:rsid w:val="00866CE3"/>
    <w:rsid w:val="00892883"/>
    <w:rsid w:val="00893070"/>
    <w:rsid w:val="008957E7"/>
    <w:rsid w:val="008974B3"/>
    <w:rsid w:val="008A00CB"/>
    <w:rsid w:val="008A3104"/>
    <w:rsid w:val="008A459A"/>
    <w:rsid w:val="008A5AE7"/>
    <w:rsid w:val="008B0E01"/>
    <w:rsid w:val="008B5145"/>
    <w:rsid w:val="008E4745"/>
    <w:rsid w:val="008F1D8A"/>
    <w:rsid w:val="008F789F"/>
    <w:rsid w:val="00924BF4"/>
    <w:rsid w:val="00957615"/>
    <w:rsid w:val="00980F2D"/>
    <w:rsid w:val="00986FBB"/>
    <w:rsid w:val="009A4449"/>
    <w:rsid w:val="009B27A2"/>
    <w:rsid w:val="009B2DD0"/>
    <w:rsid w:val="00A25C40"/>
    <w:rsid w:val="00A30226"/>
    <w:rsid w:val="00A431B1"/>
    <w:rsid w:val="00A4443E"/>
    <w:rsid w:val="00A87412"/>
    <w:rsid w:val="00A92557"/>
    <w:rsid w:val="00AA05A4"/>
    <w:rsid w:val="00AB73D2"/>
    <w:rsid w:val="00AC1BD9"/>
    <w:rsid w:val="00AC2EF2"/>
    <w:rsid w:val="00AD1255"/>
    <w:rsid w:val="00AF19B1"/>
    <w:rsid w:val="00B258DC"/>
    <w:rsid w:val="00B3724B"/>
    <w:rsid w:val="00B46FE9"/>
    <w:rsid w:val="00B52E13"/>
    <w:rsid w:val="00B56140"/>
    <w:rsid w:val="00B60FDF"/>
    <w:rsid w:val="00B73067"/>
    <w:rsid w:val="00B73617"/>
    <w:rsid w:val="00B875CE"/>
    <w:rsid w:val="00BD2D36"/>
    <w:rsid w:val="00BD469D"/>
    <w:rsid w:val="00C0142F"/>
    <w:rsid w:val="00C01C50"/>
    <w:rsid w:val="00C071DE"/>
    <w:rsid w:val="00C118E9"/>
    <w:rsid w:val="00C14149"/>
    <w:rsid w:val="00C23684"/>
    <w:rsid w:val="00C30405"/>
    <w:rsid w:val="00C3381F"/>
    <w:rsid w:val="00C5262D"/>
    <w:rsid w:val="00C5292F"/>
    <w:rsid w:val="00C668B8"/>
    <w:rsid w:val="00C67D3F"/>
    <w:rsid w:val="00C767EA"/>
    <w:rsid w:val="00C81348"/>
    <w:rsid w:val="00C94EF9"/>
    <w:rsid w:val="00CA794D"/>
    <w:rsid w:val="00CB5412"/>
    <w:rsid w:val="00CC25AA"/>
    <w:rsid w:val="00CC758D"/>
    <w:rsid w:val="00CE1207"/>
    <w:rsid w:val="00CE318A"/>
    <w:rsid w:val="00CF06F9"/>
    <w:rsid w:val="00CF6914"/>
    <w:rsid w:val="00D00B19"/>
    <w:rsid w:val="00D1467C"/>
    <w:rsid w:val="00D16416"/>
    <w:rsid w:val="00D17FE3"/>
    <w:rsid w:val="00D21379"/>
    <w:rsid w:val="00D2352A"/>
    <w:rsid w:val="00D23EB6"/>
    <w:rsid w:val="00D24219"/>
    <w:rsid w:val="00D27DE4"/>
    <w:rsid w:val="00D31DCA"/>
    <w:rsid w:val="00D3630F"/>
    <w:rsid w:val="00D5536A"/>
    <w:rsid w:val="00D629A1"/>
    <w:rsid w:val="00D64CDA"/>
    <w:rsid w:val="00D75684"/>
    <w:rsid w:val="00D822D9"/>
    <w:rsid w:val="00D843C5"/>
    <w:rsid w:val="00D9344A"/>
    <w:rsid w:val="00DD45EB"/>
    <w:rsid w:val="00DE5BF0"/>
    <w:rsid w:val="00DE74C1"/>
    <w:rsid w:val="00E057B7"/>
    <w:rsid w:val="00E17672"/>
    <w:rsid w:val="00E31618"/>
    <w:rsid w:val="00E720EC"/>
    <w:rsid w:val="00E74D88"/>
    <w:rsid w:val="00E921B2"/>
    <w:rsid w:val="00E951AB"/>
    <w:rsid w:val="00EA3561"/>
    <w:rsid w:val="00F01FA2"/>
    <w:rsid w:val="00F13934"/>
    <w:rsid w:val="00F22E16"/>
    <w:rsid w:val="00F23F37"/>
    <w:rsid w:val="00F45710"/>
    <w:rsid w:val="00F618E2"/>
    <w:rsid w:val="00F619B8"/>
    <w:rsid w:val="00F71A11"/>
    <w:rsid w:val="00F81BD3"/>
    <w:rsid w:val="00F92F52"/>
    <w:rsid w:val="00F933E4"/>
    <w:rsid w:val="00F9413E"/>
    <w:rsid w:val="00FC0983"/>
    <w:rsid w:val="00FC18DA"/>
    <w:rsid w:val="00FC4747"/>
    <w:rsid w:val="00FC7EAE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903C6"/>
  <w15:docId w15:val="{5972C900-2A86-5549-9AB8-524126A0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FE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l-GR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E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2E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4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5068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l-GR" w:eastAsia="en-US"/>
    </w:rPr>
  </w:style>
  <w:style w:type="table" w:customStyle="1" w:styleId="PlainTable21">
    <w:name w:val="Plain Table 21"/>
    <w:basedOn w:val="TableNormal"/>
    <w:uiPriority w:val="42"/>
    <w:rsid w:val="003C2A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01F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F3AA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10D"/>
    <w:rPr>
      <w:rFonts w:ascii="Segoe UI" w:eastAsiaTheme="minorHAnsi" w:hAnsi="Segoe UI" w:cs="Segoe UI"/>
      <w:sz w:val="18"/>
      <w:szCs w:val="18"/>
      <w:lang w:val="el-G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10D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690AF4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90AF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90AF4"/>
    <w:pPr>
      <w:spacing w:after="160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90AF4"/>
    <w:rPr>
      <w:rFonts w:ascii="Calibri" w:hAnsi="Calibri" w:cs="Calibri"/>
      <w:noProof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3C2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6777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9677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l-GR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A0C64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7568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D31D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DC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D31DCA"/>
  </w:style>
  <w:style w:type="character" w:customStyle="1" w:styleId="Heading2Char">
    <w:name w:val="Heading 2 Char"/>
    <w:basedOn w:val="DefaultParagraphFont"/>
    <w:link w:val="Heading2"/>
    <w:uiPriority w:val="9"/>
    <w:rsid w:val="003B2E1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B2E1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36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9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4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77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0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3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2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5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56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0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asileios.arzoglou@NHS.NE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5E55B76467E94E9E5205D4CAD1CD7F" ma:contentTypeVersion="12" ma:contentTypeDescription="Create a new document." ma:contentTypeScope="" ma:versionID="0bf53d694d3b18c867bcb66ad151e2e9">
  <xsd:schema xmlns:xsd="http://www.w3.org/2001/XMLSchema" xmlns:xs="http://www.w3.org/2001/XMLSchema" xmlns:p="http://schemas.microsoft.com/office/2006/metadata/properties" xmlns:ns3="96a872c9-50b4-4f17-8131-2dc98f65c24b" xmlns:ns4="17c71ec2-d787-4c86-8c62-d7fabd5eb7cb" targetNamespace="http://schemas.microsoft.com/office/2006/metadata/properties" ma:root="true" ma:fieldsID="d6d997b9cb0baba47f4520031943394a" ns3:_="" ns4:_="">
    <xsd:import namespace="96a872c9-50b4-4f17-8131-2dc98f65c24b"/>
    <xsd:import namespace="17c71ec2-d787-4c86-8c62-d7fabd5eb7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872c9-50b4-4f17-8131-2dc98f65c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71ec2-d787-4c86-8c62-d7fabd5eb7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1EE4C8-292B-49A4-B291-0C36DE0C59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51928-6437-4EC6-A30E-76AAA759C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872c9-50b4-4f17-8131-2dc98f65c24b"/>
    <ds:schemaRef ds:uri="17c71ec2-d787-4c86-8c62-d7fabd5eb7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3851BD-3A2B-4C9B-8F96-F85EDF1155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62890D3-A033-43FC-837F-AAC4D378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@@@@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@@@@</dc:creator>
  <cp:keywords/>
  <dc:description/>
  <cp:lastModifiedBy>vasileios arzoglou</cp:lastModifiedBy>
  <cp:revision>20</cp:revision>
  <dcterms:created xsi:type="dcterms:W3CDTF">2020-09-11T09:04:00Z</dcterms:created>
  <dcterms:modified xsi:type="dcterms:W3CDTF">2021-10-26T10:23:00Z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0x010100F35E55B76467E94E9E5205D4CAD1CD7F</vt:lpwstr>
  </property>
  <property fmtid="{D5CDD505-2E9C-101B-9397-08002B2CF9AE}" pid="3" name="Mendeley Document_1">
    <vt:lpwstr>True</vt:lpwstr>
  </property>
  <property fmtid="{D5CDD505-2E9C-101B-9397-08002B2CF9AE}" pid="4" name="Mendeley Citation Style_1">
    <vt:lpwstr>http://www.zotero.org/styles/vancouver</vt:lpwstr>
  </property>
</Properties>
</file>