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35A11" w14:textId="46FC134E" w:rsidR="00AE3E37" w:rsidRDefault="00082E46" w:rsidP="00F0719D">
      <w:pPr>
        <w:pStyle w:val="Heading1"/>
        <w:spacing w:before="170"/>
        <w:ind w:left="0"/>
      </w:pPr>
      <w:r>
        <w:rPr>
          <w:color w:val="337AB7"/>
        </w:rPr>
        <w:t xml:space="preserve">Title: </w:t>
      </w:r>
      <w:r w:rsidR="00F0719D">
        <w:rPr>
          <w:color w:val="337AB7"/>
        </w:rPr>
        <w:t xml:space="preserve"> Role of surgery in the </w:t>
      </w:r>
      <w:r w:rsidR="00F0719D" w:rsidRPr="00F0719D">
        <w:rPr>
          <w:color w:val="337AB7"/>
        </w:rPr>
        <w:t xml:space="preserve">management of spinal </w:t>
      </w:r>
      <w:proofErr w:type="spellStart"/>
      <w:r w:rsidR="00F0719D" w:rsidRPr="00F0719D">
        <w:rPr>
          <w:color w:val="337AB7"/>
        </w:rPr>
        <w:t>haematological</w:t>
      </w:r>
      <w:proofErr w:type="spellEnd"/>
      <w:r w:rsidR="00F0719D" w:rsidRPr="00F0719D">
        <w:rPr>
          <w:color w:val="337AB7"/>
        </w:rPr>
        <w:t xml:space="preserve"> malignancies: a single </w:t>
      </w:r>
      <w:proofErr w:type="spellStart"/>
      <w:r w:rsidR="00F0719D" w:rsidRPr="00F0719D">
        <w:rPr>
          <w:color w:val="337AB7"/>
        </w:rPr>
        <w:t>centre</w:t>
      </w:r>
      <w:proofErr w:type="spellEnd"/>
      <w:r w:rsidR="00F0719D" w:rsidRPr="00F0719D">
        <w:rPr>
          <w:color w:val="337AB7"/>
        </w:rPr>
        <w:t xml:space="preserve"> experience</w:t>
      </w:r>
      <w:r w:rsidR="00F0719D" w:rsidRPr="00F0719D">
        <w:rPr>
          <w:color w:val="337AB7"/>
        </w:rPr>
        <w:t>.</w:t>
      </w:r>
      <w:r w:rsidR="00F0719D" w:rsidRPr="00F0719D">
        <w:rPr>
          <w:color w:val="337AB7"/>
        </w:rPr>
        <w:br/>
        <w:t> </w:t>
      </w:r>
      <w:r w:rsidR="00F0719D" w:rsidRPr="00F0719D">
        <w:rPr>
          <w:color w:val="337AB7"/>
        </w:rPr>
        <w:br/>
      </w:r>
    </w:p>
    <w:p w14:paraId="5BA30DF9" w14:textId="5B4FD45F" w:rsidR="005973B9" w:rsidRDefault="00D604EE" w:rsidP="00D604EE">
      <w:pPr>
        <w:pStyle w:val="BodyText"/>
        <w:spacing w:before="73" w:line="198" w:lineRule="exact"/>
        <w:ind w:right="5987"/>
        <w:rPr>
          <w:rFonts w:ascii="Arial"/>
        </w:rPr>
      </w:pPr>
      <w:r>
        <w:rPr>
          <w:rFonts w:ascii="Arial"/>
        </w:rPr>
        <w:t xml:space="preserve">Author, </w:t>
      </w:r>
      <w:r w:rsidR="00F0719D">
        <w:rPr>
          <w:rFonts w:ascii="Arial"/>
        </w:rPr>
        <w:t xml:space="preserve">Mohamed Abdelrahman Abdalla </w:t>
      </w:r>
      <w:r w:rsidR="00125E6E">
        <w:rPr>
          <w:rFonts w:ascii="Arial"/>
        </w:rPr>
        <w:t>Affiliation</w:t>
      </w:r>
      <w:r w:rsidR="00F0719D">
        <w:rPr>
          <w:rFonts w:ascii="Arial"/>
        </w:rPr>
        <w:t>: Neurosurgery department, St George</w:t>
      </w:r>
      <w:r w:rsidR="00F0719D">
        <w:rPr>
          <w:rFonts w:ascii="Arial"/>
        </w:rPr>
        <w:t>’</w:t>
      </w:r>
      <w:r w:rsidR="00F0719D">
        <w:rPr>
          <w:rFonts w:ascii="Arial"/>
        </w:rPr>
        <w:t>s hospital. London</w:t>
      </w:r>
    </w:p>
    <w:p w14:paraId="7DAB3FC4" w14:textId="77777777" w:rsidR="00F0719D" w:rsidRDefault="009C1181" w:rsidP="00F0719D">
      <w:pPr>
        <w:pStyle w:val="BodyText"/>
        <w:spacing w:before="73" w:line="198" w:lineRule="exact"/>
        <w:ind w:right="5987"/>
        <w:rPr>
          <w:rFonts w:ascii="Arial"/>
        </w:rPr>
      </w:pPr>
      <w:r>
        <w:rPr>
          <w:rFonts w:ascii="Arial"/>
        </w:rPr>
        <w:t>Co-authors,</w:t>
      </w:r>
      <w:r w:rsidR="00F0719D" w:rsidRPr="00F0719D">
        <w:rPr>
          <w:rFonts w:ascii="Calibri" w:hAnsi="Calibri" w:cstheme="minorBidi"/>
          <w:color w:val="1F497D"/>
          <w:kern w:val="24"/>
          <w:sz w:val="40"/>
          <w:szCs w:val="40"/>
        </w:rPr>
        <w:t xml:space="preserve"> </w:t>
      </w:r>
      <w:r w:rsidR="00F0719D" w:rsidRPr="00F0719D">
        <w:rPr>
          <w:rFonts w:ascii="Arial"/>
        </w:rPr>
        <w:t xml:space="preserve">M. </w:t>
      </w:r>
      <w:proofErr w:type="spellStart"/>
      <w:r w:rsidR="00F0719D" w:rsidRPr="00F0719D">
        <w:rPr>
          <w:rFonts w:ascii="Arial"/>
        </w:rPr>
        <w:t>Nyanzu</w:t>
      </w:r>
      <w:proofErr w:type="spellEnd"/>
      <w:r w:rsidR="00F0719D" w:rsidRPr="00F0719D">
        <w:rPr>
          <w:rFonts w:ascii="Arial"/>
        </w:rPr>
        <w:t xml:space="preserve">, C. </w:t>
      </w:r>
      <w:proofErr w:type="spellStart"/>
      <w:r w:rsidR="00F0719D" w:rsidRPr="00F0719D">
        <w:rPr>
          <w:rFonts w:ascii="Arial"/>
        </w:rPr>
        <w:t>Fenner</w:t>
      </w:r>
      <w:proofErr w:type="spellEnd"/>
      <w:r w:rsidR="00F0719D" w:rsidRPr="00F0719D">
        <w:rPr>
          <w:rFonts w:ascii="Arial"/>
        </w:rPr>
        <w:t xml:space="preserve">, E. </w:t>
      </w:r>
      <w:proofErr w:type="spellStart"/>
      <w:r w:rsidR="00F0719D" w:rsidRPr="00F0719D">
        <w:rPr>
          <w:rFonts w:ascii="Arial"/>
        </w:rPr>
        <w:t>Fragkakis</w:t>
      </w:r>
      <w:proofErr w:type="spellEnd"/>
      <w:r w:rsidR="00F0719D" w:rsidRPr="00F0719D">
        <w:rPr>
          <w:rFonts w:ascii="Arial"/>
        </w:rPr>
        <w:t xml:space="preserve">, B. Ajayi, C. </w:t>
      </w:r>
      <w:proofErr w:type="spellStart"/>
      <w:r w:rsidR="00F0719D" w:rsidRPr="00F0719D">
        <w:rPr>
          <w:rFonts w:ascii="Arial"/>
        </w:rPr>
        <w:t>Lupu</w:t>
      </w:r>
      <w:proofErr w:type="spellEnd"/>
      <w:r w:rsidR="00F0719D" w:rsidRPr="00F0719D">
        <w:rPr>
          <w:rFonts w:ascii="Arial"/>
        </w:rPr>
        <w:t xml:space="preserve">, T. Bishop, J. Bernard, F. Willis, Y. </w:t>
      </w:r>
      <w:proofErr w:type="spellStart"/>
      <w:r w:rsidR="00F0719D" w:rsidRPr="00F0719D">
        <w:rPr>
          <w:rFonts w:ascii="Arial"/>
        </w:rPr>
        <w:t>Reyal</w:t>
      </w:r>
      <w:proofErr w:type="spellEnd"/>
      <w:r w:rsidR="00F0719D" w:rsidRPr="00F0719D">
        <w:rPr>
          <w:rFonts w:ascii="Arial"/>
        </w:rPr>
        <w:t>, E. Pereira, M. Papadopoulos, M. Crocker. D. Lui</w:t>
      </w:r>
    </w:p>
    <w:p w14:paraId="195BF475" w14:textId="24E2EC5C" w:rsidR="00AE3E37" w:rsidRPr="009C1181" w:rsidRDefault="009C1181" w:rsidP="00F0719D">
      <w:pPr>
        <w:pStyle w:val="BodyText"/>
        <w:spacing w:before="73" w:line="198" w:lineRule="exact"/>
        <w:ind w:right="5987"/>
        <w:rPr>
          <w:rFonts w:ascii="Arial"/>
        </w:rPr>
      </w:pPr>
      <w:r>
        <w:rPr>
          <w:rFonts w:ascii="Arial"/>
        </w:rPr>
        <w:t xml:space="preserve"> Affiliation</w:t>
      </w:r>
      <w:r w:rsidR="00F0719D">
        <w:rPr>
          <w:rFonts w:ascii="Arial"/>
        </w:rPr>
        <w:t xml:space="preserve">: </w:t>
      </w:r>
      <w:proofErr w:type="spellStart"/>
      <w:r w:rsidR="00F0719D">
        <w:rPr>
          <w:rFonts w:ascii="Arial"/>
        </w:rPr>
        <w:t>Neurosurgey</w:t>
      </w:r>
      <w:proofErr w:type="spellEnd"/>
      <w:r w:rsidR="00F0719D">
        <w:rPr>
          <w:rFonts w:ascii="Arial"/>
        </w:rPr>
        <w:t xml:space="preserve"> and </w:t>
      </w:r>
      <w:proofErr w:type="spellStart"/>
      <w:r w:rsidR="00F0719D">
        <w:rPr>
          <w:rFonts w:ascii="Arial"/>
        </w:rPr>
        <w:t>haematology</w:t>
      </w:r>
      <w:proofErr w:type="spellEnd"/>
      <w:r w:rsidR="00F0719D">
        <w:rPr>
          <w:rFonts w:ascii="Arial"/>
        </w:rPr>
        <w:t xml:space="preserve"> department St George</w:t>
      </w:r>
      <w:r w:rsidR="00F0719D">
        <w:rPr>
          <w:rFonts w:ascii="Arial"/>
        </w:rPr>
        <w:t>’</w:t>
      </w:r>
      <w:r w:rsidR="00F0719D">
        <w:rPr>
          <w:rFonts w:ascii="Arial"/>
        </w:rPr>
        <w:t>s hospital</w:t>
      </w:r>
      <w:r w:rsidR="00CA4143">
        <w:rPr>
          <w:rFonts w:ascii="Arial"/>
          <w:sz w:val="20"/>
        </w:rPr>
        <w:tab/>
      </w:r>
    </w:p>
    <w:p w14:paraId="77BDEEAA" w14:textId="77777777" w:rsidR="00AE3E37" w:rsidRDefault="00AE3E37">
      <w:pPr>
        <w:pStyle w:val="BodyText"/>
        <w:spacing w:before="3"/>
        <w:rPr>
          <w:rFonts w:ascii="Arial"/>
          <w:sz w:val="21"/>
        </w:rPr>
      </w:pPr>
    </w:p>
    <w:p w14:paraId="4C79D882" w14:textId="77777777"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14:paraId="7973CAAA" w14:textId="77777777" w:rsidR="00AE3E37" w:rsidRDefault="00A9710C">
      <w:pPr>
        <w:pStyle w:val="Heading3"/>
        <w:spacing w:before="147"/>
        <w:jc w:val="both"/>
      </w:pPr>
      <w:r>
        <w:rPr>
          <w:color w:val="BF5A14"/>
        </w:rPr>
        <w:t>Abstract</w:t>
      </w:r>
      <w:r w:rsidR="00404E5B">
        <w:rPr>
          <w:color w:val="BF5A14"/>
        </w:rPr>
        <w:t xml:space="preserve"> (300 word limit)</w:t>
      </w:r>
    </w:p>
    <w:p w14:paraId="405B9A58" w14:textId="77777777" w:rsidR="00F0719D" w:rsidRDefault="00F0719D" w:rsidP="00F0719D">
      <w:pPr>
        <w:rPr>
          <w:color w:val="000000"/>
          <w:shd w:val="clear" w:color="auto" w:fill="FFFFFF"/>
        </w:rPr>
      </w:pPr>
      <w:r>
        <w:rPr>
          <w:color w:val="000000"/>
          <w:shd w:val="clear" w:color="auto" w:fill="FFFFFF"/>
        </w:rPr>
        <w:t>Abstract:</w:t>
      </w:r>
    </w:p>
    <w:p w14:paraId="153D06AD" w14:textId="77777777" w:rsidR="00F0719D" w:rsidRDefault="00F0719D" w:rsidP="00F0719D">
      <w:pPr>
        <w:rPr>
          <w:color w:val="000000"/>
          <w:shd w:val="clear" w:color="auto" w:fill="FFFFFF"/>
        </w:rPr>
      </w:pPr>
      <w:proofErr w:type="spellStart"/>
      <w:r>
        <w:rPr>
          <w:color w:val="000000"/>
          <w:shd w:val="clear" w:color="auto" w:fill="FFFFFF"/>
        </w:rPr>
        <w:t>Haematological</w:t>
      </w:r>
      <w:proofErr w:type="spellEnd"/>
      <w:r>
        <w:rPr>
          <w:color w:val="000000"/>
          <w:shd w:val="clear" w:color="auto" w:fill="FFFFFF"/>
        </w:rPr>
        <w:t xml:space="preserve"> malignancies commonly affect spine and can result in pain, neural compression or instability. Urgent evaluation and treatment are often needed for these conditions to avoid permanent neurological deficit or deformity. However, the best treatment strategies of these spinal </w:t>
      </w:r>
      <w:proofErr w:type="spellStart"/>
      <w:r>
        <w:rPr>
          <w:color w:val="000000"/>
          <w:shd w:val="clear" w:color="auto" w:fill="FFFFFF"/>
        </w:rPr>
        <w:t>tumours</w:t>
      </w:r>
      <w:proofErr w:type="spellEnd"/>
      <w:r>
        <w:rPr>
          <w:color w:val="000000"/>
          <w:shd w:val="clear" w:color="auto" w:fill="FFFFFF"/>
        </w:rPr>
        <w:t xml:space="preserve"> are still evolving and subject to on-going research and improvement. In particular, the role of fixation surgery seems to be declining in </w:t>
      </w:r>
      <w:proofErr w:type="spellStart"/>
      <w:r>
        <w:rPr>
          <w:color w:val="000000"/>
          <w:shd w:val="clear" w:color="auto" w:fill="FFFFFF"/>
        </w:rPr>
        <w:t>favour</w:t>
      </w:r>
      <w:proofErr w:type="spellEnd"/>
      <w:r>
        <w:rPr>
          <w:color w:val="000000"/>
          <w:shd w:val="clear" w:color="auto" w:fill="FFFFFF"/>
        </w:rPr>
        <w:t xml:space="preserve"> of other treatment modalities.</w:t>
      </w:r>
    </w:p>
    <w:p w14:paraId="6135D31E" w14:textId="3EEC9033" w:rsidR="00F0719D" w:rsidRDefault="00F0719D" w:rsidP="00F0719D">
      <w:pPr>
        <w:rPr>
          <w:color w:val="000000"/>
          <w:shd w:val="clear" w:color="auto" w:fill="FFFFFF"/>
        </w:rPr>
      </w:pPr>
      <w:r>
        <w:rPr>
          <w:color w:val="000000"/>
          <w:shd w:val="clear" w:color="auto" w:fill="FFFFFF"/>
        </w:rPr>
        <w:t xml:space="preserve">This study aimed to review the literature for the current trends in the management of the spinal involvement in </w:t>
      </w:r>
      <w:proofErr w:type="spellStart"/>
      <w:r>
        <w:rPr>
          <w:color w:val="000000"/>
          <w:shd w:val="clear" w:color="auto" w:fill="FFFFFF"/>
        </w:rPr>
        <w:t>haematological</w:t>
      </w:r>
      <w:proofErr w:type="spellEnd"/>
      <w:r>
        <w:rPr>
          <w:color w:val="000000"/>
          <w:shd w:val="clear" w:color="auto" w:fill="FFFFFF"/>
        </w:rPr>
        <w:t xml:space="preserve"> diseases. We compared our practice in the spine unit at St George’s hospital over the past five years to the best available evidence, particularly the guidelines of British </w:t>
      </w:r>
      <w:proofErr w:type="spellStart"/>
      <w:r>
        <w:rPr>
          <w:color w:val="000000"/>
          <w:shd w:val="clear" w:color="auto" w:fill="FFFFFF"/>
        </w:rPr>
        <w:t>haematological</w:t>
      </w:r>
      <w:proofErr w:type="spellEnd"/>
      <w:r>
        <w:rPr>
          <w:color w:val="000000"/>
          <w:shd w:val="clear" w:color="auto" w:fill="FFFFFF"/>
        </w:rPr>
        <w:t xml:space="preserve"> group</w:t>
      </w:r>
      <w:r w:rsidRPr="00CE125E">
        <w:rPr>
          <w:color w:val="000000"/>
          <w:shd w:val="clear" w:color="auto" w:fill="FFFFFF"/>
        </w:rPr>
        <w:t xml:space="preserve"> </w:t>
      </w:r>
      <w:r>
        <w:rPr>
          <w:color w:val="000000"/>
          <w:shd w:val="clear" w:color="auto" w:fill="FFFFFF"/>
        </w:rPr>
        <w:t xml:space="preserve">published in </w:t>
      </w:r>
      <w:r w:rsidRPr="00CE125E">
        <w:rPr>
          <w:color w:val="000000"/>
          <w:shd w:val="clear" w:color="auto" w:fill="FFFFFF"/>
        </w:rPr>
        <w:t>2015</w:t>
      </w:r>
      <w:r>
        <w:rPr>
          <w:color w:val="000000"/>
          <w:shd w:val="clear" w:color="auto" w:fill="FFFFFF"/>
        </w:rPr>
        <w:t>.</w:t>
      </w:r>
      <w:r>
        <w:rPr>
          <w:color w:val="000000"/>
          <w:shd w:val="clear" w:color="auto" w:fill="FFFFFF"/>
        </w:rPr>
        <w:t xml:space="preserve"> In particular, we reviewed the trend towards surgical intervention in the five years of the study.</w:t>
      </w:r>
    </w:p>
    <w:p w14:paraId="7A731C23" w14:textId="77777777" w:rsidR="00F0719D" w:rsidRDefault="00F0719D" w:rsidP="00F0719D">
      <w:r>
        <w:t>Methods:</w:t>
      </w:r>
    </w:p>
    <w:p w14:paraId="2D0B5B42" w14:textId="77777777" w:rsidR="00F0719D" w:rsidRDefault="00F0719D" w:rsidP="00F0719D">
      <w:pPr>
        <w:tabs>
          <w:tab w:val="num" w:pos="720"/>
        </w:tabs>
      </w:pPr>
      <w:r>
        <w:t>We underwent a re</w:t>
      </w:r>
      <w:r w:rsidRPr="002B21C3">
        <w:t xml:space="preserve">trospective review of all spinal hematological malignancy patients who were discussed in the spinal MDT and managed </w:t>
      </w:r>
      <w:r>
        <w:t>in</w:t>
      </w:r>
      <w:r w:rsidRPr="002B21C3">
        <w:t xml:space="preserve"> the spine unit at St George’s hospital in the period between </w:t>
      </w:r>
      <w:r>
        <w:t>September</w:t>
      </w:r>
      <w:r w:rsidRPr="002B21C3">
        <w:t xml:space="preserve"> 2015 and December 2020. We </w:t>
      </w:r>
      <w:proofErr w:type="spellStart"/>
      <w:r w:rsidRPr="002B21C3">
        <w:t>analysed</w:t>
      </w:r>
      <w:proofErr w:type="spellEnd"/>
      <w:r w:rsidRPr="002B21C3">
        <w:t xml:space="preserve"> the demographics of the patients treated in this period and compared the management modalities adopted in the unit to the current </w:t>
      </w:r>
      <w:r>
        <w:t xml:space="preserve">scientific evidences and guidelines </w:t>
      </w:r>
      <w:proofErr w:type="gramStart"/>
      <w:r>
        <w:t>specially</w:t>
      </w:r>
      <w:proofErr w:type="gramEnd"/>
      <w:r>
        <w:t xml:space="preserve"> </w:t>
      </w:r>
      <w:r w:rsidRPr="002B21C3">
        <w:t>British hematological guidelines.</w:t>
      </w:r>
    </w:p>
    <w:p w14:paraId="27B8C639" w14:textId="77777777" w:rsidR="00F0719D" w:rsidRDefault="00F0719D" w:rsidP="00F0719D">
      <w:pPr>
        <w:tabs>
          <w:tab w:val="num" w:pos="720"/>
        </w:tabs>
      </w:pPr>
      <w:r>
        <w:t>Results:</w:t>
      </w:r>
    </w:p>
    <w:p w14:paraId="76994AFA" w14:textId="77777777" w:rsidR="00F0719D" w:rsidRDefault="00F0719D" w:rsidP="00F0719D">
      <w:pPr>
        <w:tabs>
          <w:tab w:val="num" w:pos="720"/>
        </w:tabs>
      </w:pPr>
      <w:r w:rsidRPr="005B5431">
        <w:t xml:space="preserve">A total of 259 spinal </w:t>
      </w:r>
      <w:proofErr w:type="spellStart"/>
      <w:r w:rsidRPr="005B5431">
        <w:t>haematological</w:t>
      </w:r>
      <w:proofErr w:type="spellEnd"/>
      <w:r w:rsidRPr="005B5431">
        <w:t xml:space="preserve"> patients were referred to the spine MDT in the period between Sep 2015 and Dec 2020.</w:t>
      </w:r>
      <w:r>
        <w:t xml:space="preserve"> </w:t>
      </w:r>
      <w:r w:rsidRPr="005B5431">
        <w:t>The age range was 41-93</w:t>
      </w:r>
      <w:r>
        <w:t xml:space="preserve">. </w:t>
      </w:r>
      <w:r w:rsidRPr="005B5431">
        <w:t>159 were males (61.38%) and 100 were females.</w:t>
      </w:r>
      <w:r>
        <w:t xml:space="preserve"> </w:t>
      </w:r>
    </w:p>
    <w:p w14:paraId="71DE4397" w14:textId="2938C688" w:rsidR="00F0719D" w:rsidRDefault="00F0719D" w:rsidP="00F0719D">
      <w:pPr>
        <w:tabs>
          <w:tab w:val="num" w:pos="720"/>
        </w:tabs>
      </w:pPr>
      <w:r>
        <w:t>The number of referrals increased significantly in 2020 (69) compared to the precedent years (average 34). This results from the regular attendance of hematology team in the MDT meetings which began in 2020. A dedicated section for the discussion of the hematological spine disease was added to the spine proforma accordingly.</w:t>
      </w:r>
    </w:p>
    <w:p w14:paraId="76D3F1E9" w14:textId="09403F84" w:rsidR="00F0719D" w:rsidRDefault="00F0719D" w:rsidP="00F0719D">
      <w:pPr>
        <w:tabs>
          <w:tab w:val="num" w:pos="720"/>
        </w:tabs>
      </w:pPr>
      <w:r>
        <w:t>Thoracic spine was the most commonly affected region followed by the lumbar spine. Diffuse spinal infiltrative disease was most common in 2020 cases.</w:t>
      </w:r>
    </w:p>
    <w:p w14:paraId="1464CF58" w14:textId="27EF3B64" w:rsidR="00F0719D" w:rsidRPr="001E5CC9" w:rsidRDefault="00F0719D" w:rsidP="00F0719D">
      <w:pPr>
        <w:rPr>
          <w:color w:val="000000"/>
          <w:shd w:val="clear" w:color="auto" w:fill="FFFFFF"/>
        </w:rPr>
      </w:pPr>
      <w:r>
        <w:t>Similarly, the number of non-spinal cord compression cases (</w:t>
      </w:r>
      <w:proofErr w:type="spellStart"/>
      <w:r>
        <w:t>Bilsky</w:t>
      </w:r>
      <w:proofErr w:type="spellEnd"/>
      <w:r>
        <w:t xml:space="preserve"> 0 or B0) has shown a sharp rise in 2020 (36 cases). B3 cases were the highest in 2016 (14 cases). In 2020, there were 9 cases with B3 score. The total number of surgical cases was the lowest in 2020 (5 cases: 7.4% % of the total number). The indication for surgical intervention was spinal instability in four cases and the fifth case had surgery for decompression and fixation. In 2016 the percentage was 21.1%. More cases had balloon kyphoplasty in 2019 (20.83%) than any previous year</w:t>
      </w:r>
      <w:r>
        <w:t>.</w:t>
      </w:r>
    </w:p>
    <w:p w14:paraId="3C07DFDF" w14:textId="77B2F97A" w:rsidR="00AE3E37" w:rsidRDefault="00A9710C">
      <w:pPr>
        <w:pStyle w:val="Heading3"/>
        <w:spacing w:before="74"/>
        <w:rPr>
          <w:color w:val="BF5A14"/>
        </w:rPr>
      </w:pPr>
      <w:r>
        <w:rPr>
          <w:b w:val="0"/>
        </w:rPr>
        <w:br w:type="column"/>
      </w:r>
      <w:r>
        <w:rPr>
          <w:color w:val="BF5A14"/>
        </w:rPr>
        <w:lastRenderedPageBreak/>
        <w:t>Image</w:t>
      </w:r>
    </w:p>
    <w:p w14:paraId="2819BEB9" w14:textId="5D649533" w:rsidR="00F61356" w:rsidRDefault="00F61356" w:rsidP="00F61356">
      <w:pPr>
        <w:pStyle w:val="Heading3"/>
        <w:spacing w:before="74"/>
      </w:pPr>
      <w:r w:rsidRPr="00F61356">
        <w:drawing>
          <wp:inline distT="0" distB="0" distL="0" distR="0" wp14:anchorId="76BC9CD1" wp14:editId="1F33628C">
            <wp:extent cx="6788150" cy="2345690"/>
            <wp:effectExtent l="0" t="0" r="12700" b="16510"/>
            <wp:docPr id="1" name="Chart 1">
              <a:extLst xmlns:a="http://schemas.openxmlformats.org/drawingml/2006/main">
                <a:ext uri="{FF2B5EF4-FFF2-40B4-BE49-F238E27FC236}">
                  <a16:creationId xmlns:a16="http://schemas.microsoft.com/office/drawing/2014/main" id="{232751B3-5DBB-4156-9B07-908BA6B9BE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5243E30" w14:textId="7E4FD6EC" w:rsidR="00AE3E37" w:rsidRDefault="00AE3E37">
      <w:pPr>
        <w:pStyle w:val="BodyText"/>
        <w:spacing w:before="2"/>
        <w:rPr>
          <w:rFonts w:ascii="Arial"/>
          <w:b/>
          <w:sz w:val="16"/>
        </w:rPr>
      </w:pPr>
    </w:p>
    <w:p w14:paraId="2A72788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26CD2BE" w14:textId="77777777" w:rsidR="0005140C" w:rsidRDefault="0005140C" w:rsidP="005973B9">
      <w:pPr>
        <w:pStyle w:val="ListParagraph"/>
        <w:numPr>
          <w:ilvl w:val="0"/>
          <w:numId w:val="3"/>
        </w:numPr>
        <w:tabs>
          <w:tab w:val="left" w:pos="384"/>
        </w:tabs>
        <w:spacing w:line="216" w:lineRule="exact"/>
        <w:ind w:right="137" w:hanging="283"/>
        <w:rPr>
          <w:sz w:val="18"/>
        </w:rPr>
      </w:pPr>
      <w:r w:rsidRPr="0005140C">
        <w:rPr>
          <w:sz w:val="18"/>
        </w:rPr>
        <w:t xml:space="preserve">Abdalla, M., </w:t>
      </w:r>
      <w:proofErr w:type="spellStart"/>
      <w:r w:rsidRPr="0005140C">
        <w:rPr>
          <w:sz w:val="18"/>
        </w:rPr>
        <w:t>Nyanzu</w:t>
      </w:r>
      <w:proofErr w:type="spellEnd"/>
      <w:r w:rsidRPr="0005140C">
        <w:rPr>
          <w:sz w:val="18"/>
        </w:rPr>
        <w:t>, M. and Lui, D., 2021. CURRENT CONCEPTS IN MANAGEMENT OF SPINAL HAEMATOLOGICAL MALIGNANCIES: A SINGLE-CENTRE EXPERIENCE. </w:t>
      </w:r>
      <w:proofErr w:type="spellStart"/>
      <w:r w:rsidRPr="0005140C">
        <w:rPr>
          <w:sz w:val="18"/>
        </w:rPr>
        <w:t>Orthopaedic</w:t>
      </w:r>
      <w:proofErr w:type="spellEnd"/>
      <w:r w:rsidRPr="0005140C">
        <w:rPr>
          <w:sz w:val="18"/>
        </w:rPr>
        <w:t xml:space="preserve"> Proceedings., 103-B(SUPP_11).</w:t>
      </w:r>
      <w:r>
        <w:rPr>
          <w:sz w:val="18"/>
        </w:rPr>
        <w:t xml:space="preserve"> </w:t>
      </w:r>
    </w:p>
    <w:p w14:paraId="5D098C5F" w14:textId="77777777" w:rsidR="0005140C" w:rsidRPr="0005140C" w:rsidRDefault="0005140C" w:rsidP="0005140C">
      <w:pPr>
        <w:pStyle w:val="ListParagraph"/>
        <w:numPr>
          <w:ilvl w:val="0"/>
          <w:numId w:val="3"/>
        </w:numPr>
        <w:tabs>
          <w:tab w:val="left" w:pos="384"/>
        </w:tabs>
        <w:spacing w:before="92" w:line="218" w:lineRule="exact"/>
        <w:rPr>
          <w:sz w:val="18"/>
        </w:rPr>
      </w:pPr>
      <w:r w:rsidRPr="0005140C">
        <w:rPr>
          <w:sz w:val="18"/>
        </w:rPr>
        <w:t xml:space="preserve">Mohamed </w:t>
      </w:r>
      <w:proofErr w:type="gramStart"/>
      <w:r w:rsidRPr="0005140C">
        <w:rPr>
          <w:sz w:val="18"/>
        </w:rPr>
        <w:t>Abdalla ,</w:t>
      </w:r>
      <w:proofErr w:type="gramEnd"/>
      <w:r w:rsidRPr="0005140C">
        <w:rPr>
          <w:sz w:val="18"/>
        </w:rPr>
        <w:t xml:space="preserve"> </w:t>
      </w:r>
      <w:proofErr w:type="spellStart"/>
      <w:r w:rsidRPr="0005140C">
        <w:rPr>
          <w:sz w:val="18"/>
        </w:rPr>
        <w:t>Abteen</w:t>
      </w:r>
      <w:proofErr w:type="spellEnd"/>
      <w:r w:rsidRPr="0005140C">
        <w:rPr>
          <w:sz w:val="18"/>
        </w:rPr>
        <w:t xml:space="preserve"> </w:t>
      </w:r>
      <w:proofErr w:type="spellStart"/>
      <w:r w:rsidRPr="0005140C">
        <w:rPr>
          <w:sz w:val="18"/>
        </w:rPr>
        <w:t>Mostofi</w:t>
      </w:r>
      <w:proofErr w:type="spellEnd"/>
      <w:r w:rsidRPr="0005140C">
        <w:rPr>
          <w:sz w:val="18"/>
        </w:rPr>
        <w:t xml:space="preserve"> , Anan </w:t>
      </w:r>
      <w:proofErr w:type="spellStart"/>
      <w:r w:rsidRPr="0005140C">
        <w:rPr>
          <w:sz w:val="18"/>
        </w:rPr>
        <w:t>Shtaya</w:t>
      </w:r>
      <w:proofErr w:type="spellEnd"/>
      <w:r w:rsidRPr="0005140C">
        <w:rPr>
          <w:sz w:val="18"/>
        </w:rPr>
        <w:t xml:space="preserve"> &amp; Francis G. Johnston (2020): Acute foot drop secondary to lumbar disc prolapse after seizure, British Journal of Neurosurgery, DOI: 10.1080/02688697.2020.1839632 </w:t>
      </w:r>
    </w:p>
    <w:p w14:paraId="525B1112" w14:textId="77777777" w:rsidR="0005140C" w:rsidRPr="0005140C" w:rsidRDefault="0005140C" w:rsidP="0005140C">
      <w:pPr>
        <w:pStyle w:val="ListParagraph"/>
        <w:numPr>
          <w:ilvl w:val="0"/>
          <w:numId w:val="3"/>
        </w:numPr>
        <w:tabs>
          <w:tab w:val="left" w:pos="384"/>
        </w:tabs>
        <w:spacing w:before="92" w:line="218" w:lineRule="exact"/>
        <w:rPr>
          <w:sz w:val="18"/>
        </w:rPr>
      </w:pPr>
      <w:r w:rsidRPr="0005140C">
        <w:rPr>
          <w:sz w:val="18"/>
        </w:rPr>
        <w:t xml:space="preserve">Mohamed Abdelrahman </w:t>
      </w:r>
      <w:proofErr w:type="gramStart"/>
      <w:r w:rsidRPr="0005140C">
        <w:rPr>
          <w:sz w:val="18"/>
        </w:rPr>
        <w:t>Abdalla ,</w:t>
      </w:r>
      <w:proofErr w:type="gramEnd"/>
      <w:r w:rsidRPr="0005140C">
        <w:rPr>
          <w:sz w:val="18"/>
        </w:rPr>
        <w:t xml:space="preserve"> </w:t>
      </w:r>
      <w:proofErr w:type="spellStart"/>
      <w:r w:rsidRPr="0005140C">
        <w:rPr>
          <w:sz w:val="18"/>
        </w:rPr>
        <w:t>Zayid</w:t>
      </w:r>
      <w:proofErr w:type="spellEnd"/>
      <w:r w:rsidRPr="0005140C">
        <w:rPr>
          <w:sz w:val="18"/>
        </w:rPr>
        <w:t xml:space="preserve"> Omer , Saad Hassan Bashir &amp; M. C. Papadopoulos (2020): Extradural hematoma from trauma to midline skull </w:t>
      </w:r>
      <w:proofErr w:type="spellStart"/>
      <w:r w:rsidRPr="0005140C">
        <w:rPr>
          <w:sz w:val="18"/>
        </w:rPr>
        <w:t>tumour</w:t>
      </w:r>
      <w:proofErr w:type="spellEnd"/>
      <w:r w:rsidRPr="0005140C">
        <w:rPr>
          <w:sz w:val="18"/>
        </w:rPr>
        <w:t>, British Journal of Neurosurgery, DOI: 10.1080/02688697.2020.1849552</w:t>
      </w:r>
    </w:p>
    <w:p w14:paraId="1DC5BCD3" w14:textId="77777777" w:rsidR="00814163" w:rsidRPr="00F61356" w:rsidRDefault="001163DA" w:rsidP="00F61356">
      <w:pPr>
        <w:pStyle w:val="ListParagraph"/>
        <w:numPr>
          <w:ilvl w:val="0"/>
          <w:numId w:val="3"/>
        </w:numPr>
        <w:tabs>
          <w:tab w:val="left" w:pos="384"/>
        </w:tabs>
        <w:spacing w:line="216" w:lineRule="exact"/>
        <w:ind w:right="137" w:hanging="283"/>
        <w:rPr>
          <w:sz w:val="18"/>
        </w:rPr>
      </w:pPr>
      <w:r w:rsidRPr="00814163">
        <w:rPr>
          <w:sz w:val="18"/>
        </w:rPr>
        <w:t xml:space="preserve">Abdalla, M., Kareem, H., Rodrigues, R., Vardanyan, R., Williams, M. and Ulbricht, C., 2021. The impact of COVID-19 pandemic on the metastatic spine disease management: a single tertiary </w:t>
      </w:r>
      <w:proofErr w:type="spellStart"/>
      <w:r w:rsidRPr="00814163">
        <w:rPr>
          <w:sz w:val="18"/>
        </w:rPr>
        <w:t>centre</w:t>
      </w:r>
      <w:proofErr w:type="spellEnd"/>
      <w:r w:rsidRPr="00814163">
        <w:rPr>
          <w:sz w:val="18"/>
        </w:rPr>
        <w:t xml:space="preserve"> experience. BJNS,.</w:t>
      </w:r>
      <w:r w:rsidR="005973B9" w:rsidRPr="00814163">
        <w:rPr>
          <w:sz w:val="18"/>
        </w:rPr>
        <w:t>365: 519-530.</w:t>
      </w:r>
    </w:p>
    <w:p w14:paraId="48E4CCD7" w14:textId="3AEB80A4" w:rsidR="00A126D8" w:rsidRPr="00F61356" w:rsidRDefault="00814163" w:rsidP="00F61356">
      <w:pPr>
        <w:pStyle w:val="ListParagraph"/>
        <w:numPr>
          <w:ilvl w:val="0"/>
          <w:numId w:val="3"/>
        </w:numPr>
        <w:tabs>
          <w:tab w:val="left" w:pos="384"/>
        </w:tabs>
        <w:spacing w:line="216" w:lineRule="exact"/>
        <w:ind w:right="137" w:hanging="283"/>
        <w:rPr>
          <w:sz w:val="18"/>
        </w:rPr>
      </w:pPr>
      <w:r w:rsidRPr="00814163">
        <w:rPr>
          <w:sz w:val="18"/>
        </w:rPr>
        <w:t xml:space="preserve">Abdalla, M., 2021. The Buoyant Brain. </w:t>
      </w:r>
      <w:proofErr w:type="spellStart"/>
      <w:r w:rsidRPr="00814163">
        <w:rPr>
          <w:sz w:val="18"/>
        </w:rPr>
        <w:t>Scienceopen</w:t>
      </w:r>
      <w:proofErr w:type="spellEnd"/>
      <w:r w:rsidRPr="00814163">
        <w:rPr>
          <w:sz w:val="18"/>
        </w:rPr>
        <w:t>, [online</w:t>
      </w:r>
      <w:r w:rsidR="00F61356">
        <w:rPr>
          <w:sz w:val="18"/>
        </w:rPr>
        <w:t>, preprint</w:t>
      </w:r>
      <w:r w:rsidRPr="00814163">
        <w:rPr>
          <w:sz w:val="18"/>
        </w:rPr>
        <w:t xml:space="preserve">] Available at: &lt;https://www.scienceopen.com/document?vid=a5ace311-e5f-4a13-9693-48662c52d962&gt; </w:t>
      </w:r>
    </w:p>
    <w:p w14:paraId="44A13F74" w14:textId="77777777" w:rsidR="00A126D8" w:rsidRPr="00F61356" w:rsidRDefault="00A126D8" w:rsidP="00F61356">
      <w:pPr>
        <w:tabs>
          <w:tab w:val="left" w:pos="384"/>
        </w:tabs>
        <w:spacing w:line="216" w:lineRule="exact"/>
        <w:ind w:right="137"/>
        <w:rPr>
          <w:sz w:val="18"/>
        </w:rPr>
      </w:pPr>
    </w:p>
    <w:p w14:paraId="5EC2D6F3" w14:textId="6191CB4C" w:rsidR="008E6759" w:rsidRDefault="00F61356" w:rsidP="00A126D8">
      <w:pPr>
        <w:spacing w:before="92"/>
        <w:ind w:right="4234" w:firstLine="4253"/>
        <w:rPr>
          <w:rFonts w:ascii="Arial"/>
          <w:b/>
          <w:color w:val="000000" w:themeColor="text1"/>
          <w:sz w:val="20"/>
          <w:szCs w:val="20"/>
        </w:rPr>
      </w:pPr>
      <w:r>
        <w:rPr>
          <w:rFonts w:ascii="Arial"/>
          <w:b/>
          <w:noProof/>
          <w:color w:val="000000" w:themeColor="text1"/>
          <w:sz w:val="20"/>
          <w:szCs w:val="20"/>
        </w:rPr>
        <w:drawing>
          <wp:inline distT="0" distB="0" distL="0" distR="0" wp14:anchorId="31311A92" wp14:editId="4AB78F2B">
            <wp:extent cx="1604010" cy="209166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6499" cy="2107951"/>
                    </a:xfrm>
                    <a:prstGeom prst="rect">
                      <a:avLst/>
                    </a:prstGeom>
                  </pic:spPr>
                </pic:pic>
              </a:graphicData>
            </a:graphic>
          </wp:inline>
        </w:drawing>
      </w:r>
    </w:p>
    <w:p w14:paraId="6E6CAE1C" w14:textId="77777777" w:rsidR="008E6759" w:rsidRDefault="008E6759" w:rsidP="00A126D8">
      <w:pPr>
        <w:spacing w:before="92"/>
        <w:ind w:right="4234" w:firstLine="4253"/>
        <w:rPr>
          <w:rFonts w:ascii="Arial"/>
          <w:b/>
          <w:color w:val="000000" w:themeColor="text1"/>
          <w:sz w:val="20"/>
          <w:szCs w:val="20"/>
        </w:rPr>
      </w:pPr>
    </w:p>
    <w:p w14:paraId="5A6060BB" w14:textId="77777777" w:rsidR="008E6759" w:rsidRDefault="008E6759" w:rsidP="00A126D8">
      <w:pPr>
        <w:spacing w:before="92"/>
        <w:ind w:right="4234" w:firstLine="4253"/>
        <w:rPr>
          <w:rFonts w:ascii="Arial"/>
          <w:b/>
          <w:color w:val="000000" w:themeColor="text1"/>
          <w:sz w:val="20"/>
          <w:szCs w:val="20"/>
        </w:rPr>
      </w:pPr>
    </w:p>
    <w:p w14:paraId="3EA22B87" w14:textId="77777777" w:rsidR="008E6759" w:rsidRDefault="008E6759" w:rsidP="00404E5B">
      <w:pPr>
        <w:spacing w:before="92"/>
        <w:ind w:right="4234"/>
        <w:rPr>
          <w:rFonts w:ascii="Arial"/>
          <w:color w:val="BF5A14"/>
        </w:rPr>
      </w:pPr>
    </w:p>
    <w:p w14:paraId="60C2AF38" w14:textId="442CD586"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708549E" w14:textId="39EB3456" w:rsidR="00814163" w:rsidRPr="00D1691E" w:rsidRDefault="00814163" w:rsidP="00D1691E">
      <w:pPr>
        <w:pStyle w:val="ListParagraph"/>
        <w:tabs>
          <w:tab w:val="left" w:pos="384"/>
        </w:tabs>
        <w:spacing w:line="216" w:lineRule="exact"/>
        <w:ind w:right="137" w:firstLine="0"/>
        <w:rPr>
          <w:sz w:val="18"/>
        </w:rPr>
      </w:pPr>
      <w:proofErr w:type="spellStart"/>
      <w:r w:rsidRPr="00D1691E">
        <w:rPr>
          <w:sz w:val="18"/>
        </w:rPr>
        <w:t>Mr</w:t>
      </w:r>
      <w:proofErr w:type="spellEnd"/>
      <w:r w:rsidRPr="00D1691E">
        <w:rPr>
          <w:sz w:val="18"/>
        </w:rPr>
        <w:t xml:space="preserve"> Abdalla is a senior clinical fellow in complex spine surgery at St George’s university hospital. H</w:t>
      </w:r>
      <w:r w:rsidR="00F61356" w:rsidRPr="00D1691E">
        <w:rPr>
          <w:sz w:val="18"/>
        </w:rPr>
        <w:t>e completed his basic neurosurgical training in Egypt and pursued further international experience in KSA and UK. He has done a fellowship in complex spine surgery in Imperial college health trust and is finishing another one in St George’s hospital. He has special interest in MSCC and deformity surgery and he is heading for another spinal fellowship in deformity correction surgery.</w:t>
      </w:r>
    </w:p>
    <w:p w14:paraId="6132A588" w14:textId="735CA4D8" w:rsidR="00AE3E37" w:rsidRDefault="00A9710C">
      <w:pPr>
        <w:spacing w:before="62"/>
        <w:ind w:left="4217" w:right="4235"/>
        <w:jc w:val="center"/>
        <w:rPr>
          <w:rFonts w:ascii="Arial"/>
          <w:sz w:val="14"/>
        </w:rPr>
      </w:pPr>
      <w:r>
        <w:rPr>
          <w:rFonts w:ascii="Arial"/>
          <w:sz w:val="14"/>
        </w:rPr>
        <w:t xml:space="preserve">Email: </w:t>
      </w:r>
      <w:r w:rsidR="00814163" w:rsidRPr="00814163">
        <w:rPr>
          <w:rFonts w:ascii="Arial"/>
          <w:sz w:val="14"/>
        </w:rPr>
        <w:t>maelsadek</w:t>
      </w:r>
      <w:r w:rsidR="00814163">
        <w:rPr>
          <w:rFonts w:ascii="Arial"/>
          <w:sz w:val="14"/>
        </w:rPr>
        <w:t>@yahoo.com</w:t>
      </w:r>
    </w:p>
    <w:p w14:paraId="4D9BF9CE" w14:textId="6A9284F4" w:rsidR="00AE3E37" w:rsidRDefault="00292ED9" w:rsidP="00D1691E">
      <w:pPr>
        <w:pStyle w:val="BodyText"/>
        <w:spacing w:before="2"/>
        <w:rPr>
          <w:rFonts w:ascii="Minion Pro"/>
          <w:sz w:val="24"/>
        </w:rPr>
        <w:sectPr w:rsidR="00AE3E37">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A898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3CB325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75BA0" w14:textId="77777777" w:rsidR="002E5208" w:rsidRDefault="002E5208">
      <w:r>
        <w:separator/>
      </w:r>
    </w:p>
  </w:endnote>
  <w:endnote w:type="continuationSeparator" w:id="0">
    <w:p w14:paraId="27CD7B7D" w14:textId="77777777" w:rsidR="002E5208" w:rsidRDefault="002E5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0F1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CC3F3" w14:textId="77777777" w:rsidR="002E5208" w:rsidRDefault="002E5208">
      <w:r>
        <w:separator/>
      </w:r>
    </w:p>
  </w:footnote>
  <w:footnote w:type="continuationSeparator" w:id="0">
    <w:p w14:paraId="09278302" w14:textId="77777777" w:rsidR="002E5208" w:rsidRDefault="002E52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1DBC" w14:textId="745C4376" w:rsidR="00AE3E37" w:rsidRDefault="008E6759">
    <w:pPr>
      <w:pStyle w:val="BodyText"/>
      <w:spacing w:line="14" w:lineRule="auto"/>
      <w:rPr>
        <w:sz w:val="20"/>
      </w:rPr>
    </w:pPr>
    <w:r>
      <w:rPr>
        <w:noProof/>
        <w:sz w:val="20"/>
      </w:rPr>
      <w:drawing>
        <wp:anchor distT="0" distB="0" distL="114300" distR="114300" simplePos="0" relativeHeight="503313000" behindDoc="1" locked="0" layoutInCell="1" allowOverlap="1" wp14:anchorId="3DF05896" wp14:editId="7D4F1AC4">
          <wp:simplePos x="0" y="0"/>
          <wp:positionH relativeFrom="margin">
            <wp:align>center</wp:align>
          </wp:positionH>
          <wp:positionV relativeFrom="paragraph">
            <wp:posOffset>-182245</wp:posOffset>
          </wp:positionV>
          <wp:extent cx="6821805" cy="885825"/>
          <wp:effectExtent l="0" t="0" r="0" b="9525"/>
          <wp:wrapThrough wrapText="bothSides">
            <wp:wrapPolygon edited="0">
              <wp:start x="0" y="0"/>
              <wp:lineTo x="0" y="21368"/>
              <wp:lineTo x="21534" y="21368"/>
              <wp:lineTo x="2153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21805" cy="885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140C"/>
    <w:rsid w:val="000579E6"/>
    <w:rsid w:val="00082E46"/>
    <w:rsid w:val="000E2911"/>
    <w:rsid w:val="001163DA"/>
    <w:rsid w:val="00125E6E"/>
    <w:rsid w:val="001263DF"/>
    <w:rsid w:val="00130FA7"/>
    <w:rsid w:val="001D105D"/>
    <w:rsid w:val="001E763C"/>
    <w:rsid w:val="00255F0C"/>
    <w:rsid w:val="00292ED9"/>
    <w:rsid w:val="002A43AB"/>
    <w:rsid w:val="002E5208"/>
    <w:rsid w:val="00314AFB"/>
    <w:rsid w:val="003B76D9"/>
    <w:rsid w:val="00404E5B"/>
    <w:rsid w:val="00414F7B"/>
    <w:rsid w:val="004355DC"/>
    <w:rsid w:val="004749B4"/>
    <w:rsid w:val="00494130"/>
    <w:rsid w:val="004F3523"/>
    <w:rsid w:val="005526D6"/>
    <w:rsid w:val="00593E8C"/>
    <w:rsid w:val="005973B9"/>
    <w:rsid w:val="005B3A56"/>
    <w:rsid w:val="006060CE"/>
    <w:rsid w:val="0063497F"/>
    <w:rsid w:val="00692DFB"/>
    <w:rsid w:val="00733CCC"/>
    <w:rsid w:val="0078738A"/>
    <w:rsid w:val="00814163"/>
    <w:rsid w:val="00873DF0"/>
    <w:rsid w:val="008756E6"/>
    <w:rsid w:val="008E6759"/>
    <w:rsid w:val="00903D0A"/>
    <w:rsid w:val="009B2D44"/>
    <w:rsid w:val="009C1181"/>
    <w:rsid w:val="00A07E82"/>
    <w:rsid w:val="00A126D8"/>
    <w:rsid w:val="00A64D0E"/>
    <w:rsid w:val="00A9710C"/>
    <w:rsid w:val="00AE1F2A"/>
    <w:rsid w:val="00AE3E37"/>
    <w:rsid w:val="00B21A57"/>
    <w:rsid w:val="00B31823"/>
    <w:rsid w:val="00B47616"/>
    <w:rsid w:val="00B75E0E"/>
    <w:rsid w:val="00C33602"/>
    <w:rsid w:val="00CA4143"/>
    <w:rsid w:val="00CD6F55"/>
    <w:rsid w:val="00D1691E"/>
    <w:rsid w:val="00D604EE"/>
    <w:rsid w:val="00D62425"/>
    <w:rsid w:val="00DE3104"/>
    <w:rsid w:val="00ED4E1F"/>
    <w:rsid w:val="00F0719D"/>
    <w:rsid w:val="00F61356"/>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88C67"/>
  <w15:docId w15:val="{661FBFC0-433A-4B6B-8BA1-AF2303644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%of BKP</c:v>
                </c:pt>
              </c:strCache>
            </c:strRef>
          </c:tx>
          <c:spPr>
            <a:solidFill>
              <a:schemeClr val="accent1"/>
            </a:solidFill>
            <a:ln>
              <a:noFill/>
            </a:ln>
            <a:effectLst/>
          </c:spPr>
          <c:invertIfNegative val="0"/>
          <c:cat>
            <c:strRef>
              <c:f>Sheet1!$A$2:$A$7</c:f>
              <c:strCache>
                <c:ptCount val="6"/>
                <c:pt idx="0">
                  <c:v>Sep-Dec2015</c:v>
                </c:pt>
                <c:pt idx="1">
                  <c:v>2016</c:v>
                </c:pt>
                <c:pt idx="2">
                  <c:v>2017</c:v>
                </c:pt>
                <c:pt idx="3">
                  <c:v>2018</c:v>
                </c:pt>
                <c:pt idx="4">
                  <c:v>2019</c:v>
                </c:pt>
                <c:pt idx="5">
                  <c:v>2020</c:v>
                </c:pt>
              </c:strCache>
            </c:strRef>
          </c:cat>
          <c:val>
            <c:numRef>
              <c:f>Sheet1!$B$2:$B$7</c:f>
              <c:numCache>
                <c:formatCode>General</c:formatCode>
                <c:ptCount val="6"/>
                <c:pt idx="0">
                  <c:v>6.25</c:v>
                </c:pt>
                <c:pt idx="1">
                  <c:v>14.2</c:v>
                </c:pt>
                <c:pt idx="2">
                  <c:v>20</c:v>
                </c:pt>
                <c:pt idx="3">
                  <c:v>12.5</c:v>
                </c:pt>
                <c:pt idx="4">
                  <c:v>20.83</c:v>
                </c:pt>
                <c:pt idx="5">
                  <c:v>14.4</c:v>
                </c:pt>
              </c:numCache>
            </c:numRef>
          </c:val>
          <c:extLst>
            <c:ext xmlns:c16="http://schemas.microsoft.com/office/drawing/2014/chart" uri="{C3380CC4-5D6E-409C-BE32-E72D297353CC}">
              <c16:uniqueId val="{00000000-2865-4449-B702-1C687F9D5F4C}"/>
            </c:ext>
          </c:extLst>
        </c:ser>
        <c:ser>
          <c:idx val="1"/>
          <c:order val="1"/>
          <c:tx>
            <c:strRef>
              <c:f>Sheet1!$C$1</c:f>
              <c:strCache>
                <c:ptCount val="1"/>
                <c:pt idx="0">
                  <c:v>% of surgery</c:v>
                </c:pt>
              </c:strCache>
            </c:strRef>
          </c:tx>
          <c:spPr>
            <a:solidFill>
              <a:schemeClr val="accent2"/>
            </a:solidFill>
            <a:ln>
              <a:noFill/>
            </a:ln>
            <a:effectLst/>
          </c:spPr>
          <c:invertIfNegative val="0"/>
          <c:cat>
            <c:strRef>
              <c:f>Sheet1!$A$2:$A$7</c:f>
              <c:strCache>
                <c:ptCount val="6"/>
                <c:pt idx="0">
                  <c:v>Sep-Dec2015</c:v>
                </c:pt>
                <c:pt idx="1">
                  <c:v>2016</c:v>
                </c:pt>
                <c:pt idx="2">
                  <c:v>2017</c:v>
                </c:pt>
                <c:pt idx="3">
                  <c:v>2018</c:v>
                </c:pt>
                <c:pt idx="4">
                  <c:v>2019</c:v>
                </c:pt>
                <c:pt idx="5">
                  <c:v>2020</c:v>
                </c:pt>
              </c:strCache>
            </c:strRef>
          </c:cat>
          <c:val>
            <c:numRef>
              <c:f>Sheet1!$C$2:$C$7</c:f>
              <c:numCache>
                <c:formatCode>General</c:formatCode>
                <c:ptCount val="6"/>
                <c:pt idx="0">
                  <c:v>25</c:v>
                </c:pt>
                <c:pt idx="1">
                  <c:v>21.4</c:v>
                </c:pt>
                <c:pt idx="2">
                  <c:v>17.77</c:v>
                </c:pt>
                <c:pt idx="3">
                  <c:v>17.5</c:v>
                </c:pt>
                <c:pt idx="4">
                  <c:v>12.5</c:v>
                </c:pt>
                <c:pt idx="5">
                  <c:v>7.24</c:v>
                </c:pt>
              </c:numCache>
            </c:numRef>
          </c:val>
          <c:extLst>
            <c:ext xmlns:c16="http://schemas.microsoft.com/office/drawing/2014/chart" uri="{C3380CC4-5D6E-409C-BE32-E72D297353CC}">
              <c16:uniqueId val="{00000001-2865-4449-B702-1C687F9D5F4C}"/>
            </c:ext>
          </c:extLst>
        </c:ser>
        <c:ser>
          <c:idx val="2"/>
          <c:order val="2"/>
          <c:tx>
            <c:strRef>
              <c:f>Sheet1!$D$1</c:f>
              <c:strCache>
                <c:ptCount val="1"/>
                <c:pt idx="0">
                  <c:v>% of non-surgical treatment</c:v>
                </c:pt>
              </c:strCache>
            </c:strRef>
          </c:tx>
          <c:spPr>
            <a:solidFill>
              <a:schemeClr val="accent3"/>
            </a:solidFill>
            <a:ln>
              <a:noFill/>
            </a:ln>
            <a:effectLst/>
          </c:spPr>
          <c:invertIfNegative val="0"/>
          <c:cat>
            <c:strRef>
              <c:f>Sheet1!$A$2:$A$7</c:f>
              <c:strCache>
                <c:ptCount val="6"/>
                <c:pt idx="0">
                  <c:v>Sep-Dec2015</c:v>
                </c:pt>
                <c:pt idx="1">
                  <c:v>2016</c:v>
                </c:pt>
                <c:pt idx="2">
                  <c:v>2017</c:v>
                </c:pt>
                <c:pt idx="3">
                  <c:v>2018</c:v>
                </c:pt>
                <c:pt idx="4">
                  <c:v>2019</c:v>
                </c:pt>
                <c:pt idx="5">
                  <c:v>2020</c:v>
                </c:pt>
              </c:strCache>
            </c:strRef>
          </c:cat>
          <c:val>
            <c:numRef>
              <c:f>Sheet1!$D$2:$D$7</c:f>
              <c:numCache>
                <c:formatCode>General</c:formatCode>
                <c:ptCount val="6"/>
                <c:pt idx="0">
                  <c:v>68.75</c:v>
                </c:pt>
                <c:pt idx="1">
                  <c:v>69.23</c:v>
                </c:pt>
                <c:pt idx="2">
                  <c:v>62.22</c:v>
                </c:pt>
                <c:pt idx="3">
                  <c:v>70</c:v>
                </c:pt>
                <c:pt idx="4">
                  <c:v>75.569999999999993</c:v>
                </c:pt>
                <c:pt idx="5">
                  <c:v>78.260000000000005</c:v>
                </c:pt>
              </c:numCache>
            </c:numRef>
          </c:val>
          <c:extLst>
            <c:ext xmlns:c16="http://schemas.microsoft.com/office/drawing/2014/chart" uri="{C3380CC4-5D6E-409C-BE32-E72D297353CC}">
              <c16:uniqueId val="{00000002-2865-4449-B702-1C687F9D5F4C}"/>
            </c:ext>
          </c:extLst>
        </c:ser>
        <c:dLbls>
          <c:showLegendKey val="0"/>
          <c:showVal val="0"/>
          <c:showCatName val="0"/>
          <c:showSerName val="0"/>
          <c:showPercent val="0"/>
          <c:showBubbleSize val="0"/>
        </c:dLbls>
        <c:gapWidth val="219"/>
        <c:overlap val="-27"/>
        <c:axId val="111518175"/>
        <c:axId val="111516511"/>
      </c:barChart>
      <c:catAx>
        <c:axId val="111518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11516511"/>
        <c:crosses val="autoZero"/>
        <c:auto val="1"/>
        <c:lblAlgn val="ctr"/>
        <c:lblOffset val="100"/>
        <c:noMultiLvlLbl val="0"/>
      </c:catAx>
      <c:valAx>
        <c:axId val="1115165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115181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699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 Abdalla</cp:lastModifiedBy>
  <cp:revision>2</cp:revision>
  <dcterms:created xsi:type="dcterms:W3CDTF">2021-09-12T08:55:00Z</dcterms:created>
  <dcterms:modified xsi:type="dcterms:W3CDTF">2021-09-12T08:55:00Z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