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43BD9" w:rsidP="0038265A">
      <w:pPr>
        <w:rPr>
          <w:color w:val="337AB7"/>
        </w:rPr>
      </w:pPr>
      <w:r w:rsidRPr="00243BD9">
        <w:rPr>
          <w:color w:val="337AB7"/>
        </w:rPr>
        <w:t xml:space="preserve">Less invasive bipolar fixation fusion free (B3F) for correction of major adult spinal deformities: </w:t>
      </w:r>
      <w:r w:rsidR="008A7110">
        <w:rPr>
          <w:color w:val="337AB7"/>
        </w:rPr>
        <w:t>Results of a prospective study after 5 years.</w:t>
      </w:r>
    </w:p>
    <w:p w:rsidR="0038265A" w:rsidRPr="0038265A" w:rsidRDefault="0038265A" w:rsidP="0038265A">
      <w:pPr>
        <w:rPr>
          <w:color w:val="337AB7"/>
        </w:rPr>
      </w:pPr>
    </w:p>
    <w:p w:rsidR="00243BD9" w:rsidRDefault="0078738A" w:rsidP="00473C7E">
      <w:pPr>
        <w:pStyle w:val="Corpsdetexte"/>
        <w:spacing w:before="73" w:line="198" w:lineRule="exact"/>
        <w:ind w:left="100" w:right="4878"/>
        <w:rPr>
          <w:rFonts w:ascii="Arial"/>
        </w:rPr>
      </w:pPr>
      <w:r>
        <w:rPr>
          <w:rFonts w:ascii="Arial"/>
        </w:rPr>
        <w:t xml:space="preserve">Dr </w:t>
      </w:r>
      <w:r w:rsidR="00243BD9">
        <w:rPr>
          <w:rFonts w:ascii="Arial"/>
        </w:rPr>
        <w:t>RIOUALLON G.</w:t>
      </w:r>
      <w:r w:rsidR="005973B9">
        <w:rPr>
          <w:rFonts w:ascii="Arial"/>
        </w:rPr>
        <w:t xml:space="preserve"> </w:t>
      </w:r>
      <w:r w:rsidR="00243BD9">
        <w:rPr>
          <w:rFonts w:ascii="Arial"/>
        </w:rPr>
        <w:t>M</w:t>
      </w:r>
      <w:r w:rsidR="005973B9">
        <w:rPr>
          <w:rFonts w:ascii="Arial"/>
        </w:rPr>
        <w:t xml:space="preserve">D, </w:t>
      </w:r>
      <w:r w:rsidR="00243BD9">
        <w:rPr>
          <w:rFonts w:ascii="Arial"/>
        </w:rPr>
        <w:t>Paris Saint Joseph Hospital Group</w:t>
      </w:r>
      <w:r w:rsidR="005973B9">
        <w:rPr>
          <w:rFonts w:ascii="Arial"/>
        </w:rPr>
        <w:t xml:space="preserve">, </w:t>
      </w:r>
      <w:r w:rsidR="00243BD9">
        <w:rPr>
          <w:rFonts w:ascii="Arial"/>
        </w:rPr>
        <w:t>FRANCE</w:t>
      </w:r>
      <w:r w:rsidR="005973B9">
        <w:rPr>
          <w:rFonts w:ascii="Arial"/>
        </w:rPr>
        <w:t xml:space="preserve"> </w:t>
      </w:r>
    </w:p>
    <w:p w:rsidR="00243BD9" w:rsidRDefault="0078738A" w:rsidP="00473C7E">
      <w:pPr>
        <w:pStyle w:val="Corpsdetexte"/>
        <w:spacing w:before="73" w:line="198" w:lineRule="exact"/>
        <w:ind w:left="100" w:right="4878"/>
        <w:rPr>
          <w:rFonts w:ascii="Arial"/>
        </w:rPr>
      </w:pPr>
      <w:r>
        <w:rPr>
          <w:rFonts w:ascii="Arial"/>
        </w:rPr>
        <w:t xml:space="preserve">Dr </w:t>
      </w:r>
      <w:r w:rsidR="00243BD9">
        <w:rPr>
          <w:rFonts w:ascii="Arial"/>
        </w:rPr>
        <w:t>WOLFF S. M</w:t>
      </w:r>
      <w:r w:rsidR="005973B9">
        <w:rPr>
          <w:rFonts w:ascii="Arial"/>
        </w:rPr>
        <w:t xml:space="preserve">D, </w:t>
      </w:r>
      <w:r w:rsidR="00243BD9">
        <w:rPr>
          <w:rFonts w:ascii="Arial"/>
        </w:rPr>
        <w:t xml:space="preserve">Paris Saint Joseph Hospital Group, FRANCE </w:t>
      </w:r>
    </w:p>
    <w:p w:rsidR="00243BD9" w:rsidRDefault="00243BD9" w:rsidP="00473C7E">
      <w:pPr>
        <w:pStyle w:val="Corpsdetexte"/>
        <w:spacing w:before="73" w:line="198" w:lineRule="exact"/>
        <w:ind w:left="100" w:right="4878"/>
        <w:rPr>
          <w:rFonts w:ascii="Arial"/>
        </w:rPr>
      </w:pPr>
      <w:r>
        <w:rPr>
          <w:rFonts w:ascii="Arial"/>
        </w:rPr>
        <w:t>Dr MOREAU P.E. MD, Paris Saint Joseph Hospital Group, FRANCE</w:t>
      </w:r>
    </w:p>
    <w:p w:rsidR="00243BD9" w:rsidRPr="00243BD9" w:rsidRDefault="00243BD9" w:rsidP="00473C7E">
      <w:pPr>
        <w:pStyle w:val="Corpsdetexte"/>
        <w:spacing w:before="73" w:line="198" w:lineRule="exact"/>
        <w:ind w:left="100" w:right="4878"/>
        <w:rPr>
          <w:rFonts w:ascii="Arial"/>
          <w:lang w:val="fr-FR"/>
        </w:rPr>
      </w:pPr>
      <w:r w:rsidRPr="00243BD9">
        <w:rPr>
          <w:rFonts w:ascii="Arial"/>
          <w:lang w:val="fr-FR"/>
        </w:rPr>
        <w:t xml:space="preserve">Dr MILADI L. MD, Necker-Enfant Malades </w:t>
      </w:r>
      <w:proofErr w:type="spellStart"/>
      <w:r w:rsidRPr="00243BD9">
        <w:rPr>
          <w:rFonts w:ascii="Arial"/>
          <w:lang w:val="fr-FR"/>
        </w:rPr>
        <w:t>Hospital</w:t>
      </w:r>
      <w:proofErr w:type="spellEnd"/>
      <w:r w:rsidRPr="00243BD9">
        <w:rPr>
          <w:rFonts w:ascii="Arial"/>
          <w:lang w:val="fr-FR"/>
        </w:rPr>
        <w:t>, Paris, FRANCE</w:t>
      </w:r>
    </w:p>
    <w:p w:rsidR="00AE3E37" w:rsidRPr="00243BD9" w:rsidRDefault="00AE3E37">
      <w:pPr>
        <w:pStyle w:val="Corpsdetexte"/>
        <w:rPr>
          <w:rFonts w:ascii="Arial"/>
          <w:sz w:val="20"/>
          <w:lang w:val="fr-FR"/>
        </w:rPr>
      </w:pPr>
    </w:p>
    <w:p w:rsidR="00AE3E37" w:rsidRPr="00243BD9" w:rsidRDefault="00AE3E37">
      <w:pPr>
        <w:pStyle w:val="Corpsdetexte"/>
        <w:spacing w:before="3"/>
        <w:rPr>
          <w:rFonts w:ascii="Arial"/>
          <w:sz w:val="21"/>
          <w:lang w:val="fr-FR"/>
        </w:rPr>
      </w:pPr>
    </w:p>
    <w:p w:rsidR="00AE3E37" w:rsidRPr="00243BD9" w:rsidRDefault="00AE3E37">
      <w:pPr>
        <w:rPr>
          <w:rFonts w:ascii="Arial"/>
          <w:sz w:val="21"/>
          <w:lang w:val="fr-FR"/>
        </w:rPr>
        <w:sectPr w:rsidR="00AE3E37" w:rsidRPr="00243BD9">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p>
    <w:p w:rsidR="00243BD9" w:rsidRPr="00243BD9" w:rsidRDefault="00A9710C" w:rsidP="00243BD9">
      <w:pPr>
        <w:rPr>
          <w:sz w:val="18"/>
          <w:szCs w:val="18"/>
        </w:rPr>
      </w:pPr>
      <w:r w:rsidRPr="008A7110">
        <w:rPr>
          <w:b/>
          <w:sz w:val="18"/>
          <w:szCs w:val="18"/>
        </w:rPr>
        <w:t>Statement of the Problem:</w:t>
      </w:r>
      <w:r w:rsidRPr="00243BD9">
        <w:rPr>
          <w:sz w:val="18"/>
          <w:szCs w:val="18"/>
        </w:rPr>
        <w:t xml:space="preserve"> </w:t>
      </w:r>
      <w:r w:rsidR="00243BD9" w:rsidRPr="00243BD9">
        <w:rPr>
          <w:sz w:val="18"/>
          <w:szCs w:val="18"/>
        </w:rPr>
        <w:t>Posterior fixation and fusion is the most commonly used surgical technique for the treatment of adult deformities. This technique has high rates of complications particularly in adults. In children, the use of instrumentations without graft has shown good reliability. We propose the use of posterior fixation without fusion in adults. The aim of this study is to evaluate correction, complications and morbidity of a new technique of fixation for major adult spinal deformities.</w:t>
      </w:r>
      <w:r w:rsidR="00B555E0" w:rsidRPr="00B555E0">
        <w:rPr>
          <w:noProof/>
          <w:lang w:eastAsia="fr-FR"/>
        </w:rPr>
        <w:t xml:space="preserve"> </w:t>
      </w:r>
    </w:p>
    <w:p w:rsidR="00B555E0" w:rsidRDefault="00B555E0" w:rsidP="00243BD9">
      <w:pPr>
        <w:rPr>
          <w:sz w:val="18"/>
          <w:szCs w:val="18"/>
        </w:rPr>
      </w:pPr>
      <w:r>
        <w:rPr>
          <w:noProof/>
          <w:lang w:val="fr-FR" w:eastAsia="fr-FR"/>
        </w:rPr>
        <w:drawing>
          <wp:anchor distT="0" distB="0" distL="0" distR="0" simplePos="0" relativeHeight="251660288" behindDoc="0" locked="0" layoutInCell="1" allowOverlap="1" wp14:anchorId="0400C0CD" wp14:editId="2BF12A87">
            <wp:simplePos x="0" y="0"/>
            <wp:positionH relativeFrom="page">
              <wp:posOffset>3825875</wp:posOffset>
            </wp:positionH>
            <wp:positionV relativeFrom="paragraph">
              <wp:posOffset>203200</wp:posOffset>
            </wp:positionV>
            <wp:extent cx="3225165" cy="1869440"/>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5165" cy="1869440"/>
                    </a:xfrm>
                    <a:prstGeom prst="rect">
                      <a:avLst/>
                    </a:prstGeom>
                  </pic:spPr>
                </pic:pic>
              </a:graphicData>
            </a:graphic>
            <wp14:sizeRelH relativeFrom="margin">
              <wp14:pctWidth>0</wp14:pctWidth>
            </wp14:sizeRelH>
            <wp14:sizeRelV relativeFrom="margin">
              <wp14:pctHeight>0</wp14:pctHeight>
            </wp14:sizeRelV>
          </wp:anchor>
        </w:drawing>
      </w:r>
      <w:r w:rsidR="00A9710C" w:rsidRPr="008A7110">
        <w:rPr>
          <w:b/>
          <w:sz w:val="18"/>
          <w:szCs w:val="18"/>
        </w:rPr>
        <w:t>Methodolog</w:t>
      </w:r>
      <w:r w:rsidR="0078738A" w:rsidRPr="008A7110">
        <w:rPr>
          <w:b/>
          <w:sz w:val="18"/>
          <w:szCs w:val="18"/>
        </w:rPr>
        <w:t>y &amp; Theoretical Orientation:</w:t>
      </w:r>
      <w:r w:rsidR="0078738A" w:rsidRPr="00243BD9">
        <w:rPr>
          <w:sz w:val="18"/>
          <w:szCs w:val="18"/>
        </w:rPr>
        <w:t xml:space="preserve"> </w:t>
      </w:r>
      <w:r w:rsidR="008A7110">
        <w:rPr>
          <w:sz w:val="18"/>
          <w:szCs w:val="18"/>
        </w:rPr>
        <w:t xml:space="preserve">We conducted a </w:t>
      </w:r>
    </w:p>
    <w:p w:rsidR="00243BD9" w:rsidRDefault="008A7110" w:rsidP="00243BD9">
      <w:pPr>
        <w:rPr>
          <w:sz w:val="18"/>
          <w:szCs w:val="18"/>
        </w:rPr>
      </w:pPr>
      <w:proofErr w:type="spellStart"/>
      <w:proofErr w:type="gramStart"/>
      <w:r>
        <w:rPr>
          <w:sz w:val="18"/>
          <w:szCs w:val="18"/>
        </w:rPr>
        <w:t>m</w:t>
      </w:r>
      <w:r w:rsidR="00243BD9" w:rsidRPr="00243BD9">
        <w:rPr>
          <w:sz w:val="18"/>
          <w:szCs w:val="18"/>
        </w:rPr>
        <w:t>onocentric</w:t>
      </w:r>
      <w:proofErr w:type="spellEnd"/>
      <w:proofErr w:type="gramEnd"/>
      <w:r w:rsidR="00243BD9" w:rsidRPr="00243BD9">
        <w:rPr>
          <w:sz w:val="18"/>
          <w:szCs w:val="18"/>
        </w:rPr>
        <w:t xml:space="preserve"> prospective study. The operative technique is a posterior-only fixation via two separated approaches: one at the upper thoracic spine with eight hooks and one mini-open approach at the lumbosacral spine with two </w:t>
      </w:r>
      <w:proofErr w:type="spellStart"/>
      <w:r w:rsidR="00243BD9" w:rsidRPr="00243BD9">
        <w:rPr>
          <w:sz w:val="18"/>
          <w:szCs w:val="18"/>
        </w:rPr>
        <w:t>iliosacral</w:t>
      </w:r>
      <w:proofErr w:type="spellEnd"/>
      <w:r w:rsidR="00243BD9" w:rsidRPr="00243BD9">
        <w:rPr>
          <w:sz w:val="18"/>
          <w:szCs w:val="18"/>
        </w:rPr>
        <w:t xml:space="preserve"> screws. The rods are implanted via a </w:t>
      </w:r>
      <w:proofErr w:type="spellStart"/>
      <w:r w:rsidR="00243BD9" w:rsidRPr="00243BD9">
        <w:rPr>
          <w:sz w:val="18"/>
          <w:szCs w:val="18"/>
        </w:rPr>
        <w:t>subfascial</w:t>
      </w:r>
      <w:proofErr w:type="spellEnd"/>
      <w:r w:rsidR="00243BD9" w:rsidRPr="00243BD9">
        <w:rPr>
          <w:sz w:val="18"/>
          <w:szCs w:val="18"/>
        </w:rPr>
        <w:t xml:space="preserve"> tunnel. Radiological correction, rate of complications and morbidity were evaluated at last follow-up.</w:t>
      </w:r>
    </w:p>
    <w:p w:rsidR="00243BD9" w:rsidRPr="00243BD9" w:rsidRDefault="00A9710C" w:rsidP="00243BD9">
      <w:pPr>
        <w:rPr>
          <w:sz w:val="18"/>
          <w:szCs w:val="18"/>
        </w:rPr>
      </w:pPr>
      <w:r w:rsidRPr="008A7110">
        <w:rPr>
          <w:b/>
          <w:sz w:val="18"/>
          <w:szCs w:val="18"/>
        </w:rPr>
        <w:t>Findings:</w:t>
      </w:r>
      <w:r w:rsidRPr="00243BD9">
        <w:rPr>
          <w:sz w:val="18"/>
          <w:szCs w:val="18"/>
        </w:rPr>
        <w:t xml:space="preserve"> </w:t>
      </w:r>
      <w:r w:rsidR="008A7110">
        <w:rPr>
          <w:sz w:val="18"/>
          <w:szCs w:val="18"/>
        </w:rPr>
        <w:t>Seventy-seven</w:t>
      </w:r>
      <w:r w:rsidR="00243BD9" w:rsidRPr="00243BD9">
        <w:rPr>
          <w:sz w:val="18"/>
          <w:szCs w:val="18"/>
        </w:rPr>
        <w:t xml:space="preserve"> patients were in</w:t>
      </w:r>
      <w:r w:rsidR="008A7110">
        <w:rPr>
          <w:sz w:val="18"/>
          <w:szCs w:val="18"/>
        </w:rPr>
        <w:t>cluded with a mean age of 46 (18</w:t>
      </w:r>
      <w:r w:rsidR="00243BD9" w:rsidRPr="00243BD9">
        <w:rPr>
          <w:sz w:val="18"/>
          <w:szCs w:val="18"/>
        </w:rPr>
        <w:t>-76)</w:t>
      </w:r>
      <w:r w:rsidR="008A7110">
        <w:rPr>
          <w:sz w:val="18"/>
          <w:szCs w:val="18"/>
        </w:rPr>
        <w:t xml:space="preserve"> with a mean follow-up of 3 years</w:t>
      </w:r>
      <w:r w:rsidR="00243BD9" w:rsidRPr="00243BD9">
        <w:rPr>
          <w:sz w:val="18"/>
          <w:szCs w:val="18"/>
        </w:rPr>
        <w:t xml:space="preserve">. Scoliosis etiologies were </w:t>
      </w:r>
      <w:r w:rsidR="008A7110" w:rsidRPr="00243BD9">
        <w:rPr>
          <w:sz w:val="18"/>
          <w:szCs w:val="18"/>
        </w:rPr>
        <w:t xml:space="preserve">idiopathic scoliosis </w:t>
      </w:r>
      <w:r w:rsidR="008A7110">
        <w:rPr>
          <w:sz w:val="18"/>
          <w:szCs w:val="18"/>
        </w:rPr>
        <w:t xml:space="preserve">(40%), </w:t>
      </w:r>
      <w:r w:rsidR="00243BD9" w:rsidRPr="00243BD9">
        <w:rPr>
          <w:sz w:val="18"/>
          <w:szCs w:val="18"/>
        </w:rPr>
        <w:t>cere</w:t>
      </w:r>
      <w:r w:rsidR="008A7110">
        <w:rPr>
          <w:sz w:val="18"/>
          <w:szCs w:val="18"/>
        </w:rPr>
        <w:t xml:space="preserve">bral palsy (38%) and others (neurological deformities, camptocormia) (22%). </w:t>
      </w:r>
      <w:r w:rsidR="00243BD9" w:rsidRPr="00243BD9">
        <w:rPr>
          <w:sz w:val="18"/>
          <w:szCs w:val="18"/>
        </w:rPr>
        <w:t xml:space="preserve">Main curve angle was 77° (35-130). At the latest FU, main curvature angle was </w:t>
      </w:r>
      <w:r w:rsidR="008A7110">
        <w:rPr>
          <w:sz w:val="18"/>
          <w:szCs w:val="18"/>
        </w:rPr>
        <w:t xml:space="preserve">improved of </w:t>
      </w:r>
      <w:r w:rsidR="00243BD9" w:rsidRPr="00243BD9">
        <w:rPr>
          <w:sz w:val="18"/>
          <w:szCs w:val="18"/>
        </w:rPr>
        <w:t>5</w:t>
      </w:r>
      <w:r w:rsidR="008A7110">
        <w:rPr>
          <w:sz w:val="18"/>
          <w:szCs w:val="18"/>
        </w:rPr>
        <w:t>0</w:t>
      </w:r>
      <w:r w:rsidR="00243BD9" w:rsidRPr="00243BD9">
        <w:rPr>
          <w:sz w:val="18"/>
          <w:szCs w:val="18"/>
        </w:rPr>
        <w:t xml:space="preserve">%. Mean operating time was 262 min and mean blood loss (44cc/level) has decreased. </w:t>
      </w:r>
      <w:r w:rsidR="008A7110" w:rsidRPr="008A7110">
        <w:rPr>
          <w:sz w:val="18"/>
          <w:szCs w:val="18"/>
        </w:rPr>
        <w:t xml:space="preserve">Twenty-seven patients had no complications. 33 patients were not </w:t>
      </w:r>
      <w:proofErr w:type="spellStart"/>
      <w:r w:rsidR="008A7110" w:rsidRPr="008A7110">
        <w:rPr>
          <w:sz w:val="18"/>
          <w:szCs w:val="18"/>
        </w:rPr>
        <w:t>reoperated</w:t>
      </w:r>
      <w:proofErr w:type="spellEnd"/>
      <w:r w:rsidR="008A7110" w:rsidRPr="008A7110">
        <w:rPr>
          <w:sz w:val="18"/>
          <w:szCs w:val="18"/>
        </w:rPr>
        <w:t xml:space="preserve">. Medical complications were very rare (3). Septic complications (16, 20%) were common in </w:t>
      </w:r>
      <w:r w:rsidR="008A7110">
        <w:rPr>
          <w:sz w:val="18"/>
          <w:szCs w:val="18"/>
        </w:rPr>
        <w:t>cerebral palsy</w:t>
      </w:r>
      <w:r w:rsidR="008A7110" w:rsidRPr="008A7110">
        <w:rPr>
          <w:sz w:val="18"/>
          <w:szCs w:val="18"/>
        </w:rPr>
        <w:t xml:space="preserve">. Mechanical complications were divided between </w:t>
      </w:r>
      <w:r w:rsidR="008A7110">
        <w:rPr>
          <w:sz w:val="18"/>
          <w:szCs w:val="18"/>
        </w:rPr>
        <w:t>rod</w:t>
      </w:r>
      <w:r w:rsidR="008A7110" w:rsidRPr="008A7110">
        <w:rPr>
          <w:sz w:val="18"/>
          <w:szCs w:val="18"/>
        </w:rPr>
        <w:t xml:space="preserve"> fractures (22, 28%) and disconnections of the inferior fixation system (15, 19%), for an overall rate of 57%.</w:t>
      </w:r>
    </w:p>
    <w:p w:rsidR="00AE3E37" w:rsidRPr="00243BD9" w:rsidRDefault="00A9710C" w:rsidP="00243BD9">
      <w:pPr>
        <w:rPr>
          <w:sz w:val="18"/>
          <w:szCs w:val="18"/>
        </w:rPr>
      </w:pPr>
      <w:r w:rsidRPr="008A7110">
        <w:rPr>
          <w:b/>
          <w:sz w:val="18"/>
          <w:szCs w:val="18"/>
        </w:rPr>
        <w:t>Conclusion &amp; Significance:</w:t>
      </w:r>
      <w:r w:rsidRPr="00243BD9">
        <w:rPr>
          <w:sz w:val="18"/>
          <w:szCs w:val="18"/>
        </w:rPr>
        <w:t xml:space="preserve"> </w:t>
      </w:r>
      <w:r w:rsidR="00243BD9" w:rsidRPr="00243BD9">
        <w:rPr>
          <w:sz w:val="18"/>
          <w:szCs w:val="18"/>
        </w:rPr>
        <w:t>Despite not being a perfect method, most patients have had very simple post-operative management and are satisfied with the result. Improvement of the technique should focus on decreasing immediate mechanical complications. It remains necessary to follow this cohort to evaluate outcomes at a longer follow-up.</w:t>
      </w:r>
    </w:p>
    <w:p w:rsidR="00AE3E37" w:rsidRDefault="00A9710C">
      <w:pPr>
        <w:pStyle w:val="Titre3"/>
        <w:spacing w:before="74"/>
      </w:pPr>
      <w:r>
        <w:rPr>
          <w:b w:val="0"/>
        </w:rPr>
        <w:br w:type="column"/>
      </w:r>
      <w:r>
        <w:rPr>
          <w:color w:val="BF5A14"/>
        </w:rPr>
        <w:t>Image</w:t>
      </w:r>
    </w:p>
    <w:p w:rsidR="00AE3E37" w:rsidRDefault="00B555E0">
      <w:pPr>
        <w:pStyle w:val="Corpsdetexte"/>
        <w:spacing w:before="2"/>
        <w:rPr>
          <w:rFonts w:ascii="Arial"/>
          <w:b/>
          <w:sz w:val="16"/>
        </w:rPr>
      </w:pPr>
      <w:r>
        <w:rPr>
          <w:noProof/>
          <w:lang w:val="fr-FR" w:eastAsia="fr-FR"/>
        </w:rPr>
        <w:drawing>
          <wp:anchor distT="0" distB="0" distL="0" distR="0" simplePos="0" relativeHeight="251658240" behindDoc="0" locked="0" layoutInCell="1" allowOverlap="1">
            <wp:simplePos x="0" y="0"/>
            <wp:positionH relativeFrom="page">
              <wp:posOffset>3819962</wp:posOffset>
            </wp:positionH>
            <wp:positionV relativeFrom="paragraph">
              <wp:posOffset>151389</wp:posOffset>
            </wp:positionV>
            <wp:extent cx="3235325" cy="1554480"/>
            <wp:effectExtent l="0" t="0" r="3175" b="762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5325" cy="1554480"/>
                    </a:xfrm>
                    <a:prstGeom prst="rect">
                      <a:avLst/>
                    </a:prstGeom>
                  </pic:spPr>
                </pic:pic>
              </a:graphicData>
            </a:graphic>
            <wp14:sizeRelV relativeFrom="margin">
              <wp14:pctHeight>0</wp14:pctHeight>
            </wp14:sizeRelV>
          </wp:anchor>
        </w:drawing>
      </w:r>
    </w:p>
    <w:p w:rsidR="00B555E0" w:rsidRPr="00745309" w:rsidRDefault="005973B9" w:rsidP="005973B9">
      <w:pPr>
        <w:spacing w:line="204" w:lineRule="exact"/>
        <w:rPr>
          <w:sz w:val="18"/>
          <w:szCs w:val="18"/>
        </w:rPr>
      </w:pPr>
      <w:r>
        <w:rPr>
          <w:rFonts w:ascii="Arial"/>
          <w:b/>
          <w:color w:val="BF5A14"/>
          <w:sz w:val="20"/>
        </w:rPr>
        <w:br/>
      </w:r>
      <w:r w:rsidR="00745309" w:rsidRPr="00745309">
        <w:rPr>
          <w:sz w:val="18"/>
          <w:szCs w:val="18"/>
        </w:rPr>
        <w:t>Figure: Example of the first patient operated with the technique; pre and postoperative clinical aspect and EOS radiographs.</w:t>
      </w:r>
      <w:r w:rsidR="00745309">
        <w:rPr>
          <w:sz w:val="18"/>
          <w:szCs w:val="18"/>
        </w:rPr>
        <w:t xml:space="preserve"> Result at five years of follow-up.</w:t>
      </w:r>
    </w:p>
    <w:p w:rsidR="00B555E0" w:rsidRDefault="00B555E0" w:rsidP="005973B9">
      <w:pPr>
        <w:spacing w:line="204" w:lineRule="exact"/>
        <w:rPr>
          <w:rFonts w:ascii="Arial"/>
          <w:b/>
          <w:color w:val="BF5A14"/>
          <w:sz w:val="20"/>
        </w:rPr>
      </w:pPr>
    </w:p>
    <w:p w:rsidR="00B555E0" w:rsidRDefault="00B555E0" w:rsidP="005973B9">
      <w:pPr>
        <w:spacing w:line="204" w:lineRule="exact"/>
        <w:rPr>
          <w:rFonts w:ascii="Arial"/>
          <w:b/>
          <w:color w:val="BF5A14"/>
          <w:sz w:val="20"/>
        </w:rPr>
      </w:pPr>
    </w:p>
    <w:p w:rsidR="00FB2BD6" w:rsidRDefault="00FB2BD6">
      <w:pPr>
        <w:rPr>
          <w:rFonts w:ascii="Arial"/>
          <w:b/>
          <w:color w:val="BF5A14"/>
          <w:sz w:val="20"/>
          <w:lang w:val="fr-FR"/>
        </w:rPr>
      </w:pPr>
      <w:r>
        <w:rPr>
          <w:rFonts w:ascii="Arial"/>
          <w:b/>
          <w:color w:val="BF5A14"/>
          <w:sz w:val="20"/>
          <w:lang w:val="fr-FR"/>
        </w:rPr>
        <w:br w:type="page"/>
      </w:r>
    </w:p>
    <w:p w:rsidR="005973B9" w:rsidRDefault="005973B9" w:rsidP="005973B9">
      <w:pPr>
        <w:spacing w:line="204" w:lineRule="exact"/>
        <w:rPr>
          <w:rFonts w:ascii="Arial"/>
          <w:b/>
          <w:color w:val="BF5A14"/>
          <w:sz w:val="20"/>
          <w:lang w:val="fr-FR"/>
        </w:rPr>
      </w:pPr>
      <w:proofErr w:type="spellStart"/>
      <w:r w:rsidRPr="0038265A">
        <w:rPr>
          <w:rFonts w:ascii="Arial"/>
          <w:b/>
          <w:color w:val="BF5A14"/>
          <w:sz w:val="20"/>
          <w:lang w:val="fr-FR"/>
        </w:rPr>
        <w:lastRenderedPageBreak/>
        <w:t>Rece</w:t>
      </w:r>
      <w:r w:rsidR="00D85439" w:rsidRPr="0038265A">
        <w:rPr>
          <w:rFonts w:ascii="Arial"/>
          <w:b/>
          <w:color w:val="BF5A14"/>
          <w:sz w:val="20"/>
          <w:lang w:val="fr-FR"/>
        </w:rPr>
        <w:t>nt</w:t>
      </w:r>
      <w:proofErr w:type="spellEnd"/>
      <w:r w:rsidR="00D85439" w:rsidRPr="0038265A">
        <w:rPr>
          <w:rFonts w:ascii="Arial"/>
          <w:b/>
          <w:color w:val="BF5A14"/>
          <w:sz w:val="20"/>
          <w:lang w:val="fr-FR"/>
        </w:rPr>
        <w:t xml:space="preserve"> </w:t>
      </w:r>
      <w:r w:rsidR="0038265A" w:rsidRPr="0038265A">
        <w:rPr>
          <w:rFonts w:ascii="Arial"/>
          <w:b/>
          <w:color w:val="BF5A14"/>
          <w:sz w:val="20"/>
          <w:lang w:val="fr-FR"/>
        </w:rPr>
        <w:t xml:space="preserve">relevant </w:t>
      </w:r>
      <w:r w:rsidR="00D85439" w:rsidRPr="0038265A">
        <w:rPr>
          <w:rFonts w:ascii="Arial"/>
          <w:b/>
          <w:color w:val="BF5A14"/>
          <w:sz w:val="20"/>
          <w:lang w:val="fr-FR"/>
        </w:rPr>
        <w:t>Publications</w:t>
      </w:r>
    </w:p>
    <w:p w:rsidR="00FB2BD6" w:rsidRPr="0038265A" w:rsidRDefault="00FB2BD6" w:rsidP="005973B9">
      <w:pPr>
        <w:spacing w:line="204" w:lineRule="exact"/>
        <w:rPr>
          <w:rFonts w:ascii="Arial"/>
          <w:b/>
          <w:color w:val="BF5A14"/>
          <w:sz w:val="20"/>
          <w:lang w:val="fr-FR"/>
        </w:rPr>
      </w:pPr>
    </w:p>
    <w:p w:rsidR="0038265A" w:rsidRDefault="0038265A" w:rsidP="0038265A">
      <w:pPr>
        <w:pStyle w:val="Bibliographie"/>
        <w:tabs>
          <w:tab w:val="clear" w:pos="384"/>
          <w:tab w:val="left" w:pos="0"/>
        </w:tabs>
        <w:ind w:left="0" w:firstLine="0"/>
        <w:rPr>
          <w:rFonts w:ascii="Calibri" w:eastAsia="Calibri" w:hAnsi="Calibri" w:cs="Calibri"/>
          <w:sz w:val="18"/>
        </w:rPr>
      </w:pPr>
      <w:r w:rsidRPr="0038265A">
        <w:rPr>
          <w:rFonts w:ascii="Calibri" w:eastAsia="Calibri" w:hAnsi="Calibri" w:cs="Calibri"/>
          <w:sz w:val="18"/>
        </w:rPr>
        <w:fldChar w:fldCharType="begin"/>
      </w:r>
      <w:r w:rsidRPr="0038265A">
        <w:rPr>
          <w:rFonts w:ascii="Calibri" w:eastAsia="Calibri" w:hAnsi="Calibri" w:cs="Calibri"/>
          <w:sz w:val="18"/>
          <w:lang w:val="fr-FR"/>
        </w:rPr>
        <w:instrText xml:space="preserve"> ADDIN ZOTERO_BIBL {"uncited":[],"omitted":[],"custom":[]} CSL_BIBLIOGRAPHY </w:instrText>
      </w:r>
      <w:r w:rsidRPr="0038265A">
        <w:rPr>
          <w:rFonts w:ascii="Calibri" w:eastAsia="Calibri" w:hAnsi="Calibri" w:cs="Calibri"/>
          <w:sz w:val="18"/>
        </w:rPr>
        <w:fldChar w:fldCharType="separate"/>
      </w:r>
      <w:r w:rsidRPr="0038265A">
        <w:rPr>
          <w:rFonts w:ascii="Calibri" w:eastAsia="Calibri" w:hAnsi="Calibri" w:cs="Calibri"/>
          <w:sz w:val="18"/>
          <w:lang w:val="fr-FR"/>
        </w:rPr>
        <w:t xml:space="preserve">1. Marques MF, Fiere V, Obeid I, Charles Y-P, El-Youssef K, Lahoud A, et al. </w:t>
      </w:r>
      <w:r w:rsidRPr="0038265A">
        <w:rPr>
          <w:rFonts w:ascii="Calibri" w:eastAsia="Calibri" w:hAnsi="Calibri" w:cs="Calibri"/>
          <w:sz w:val="18"/>
        </w:rPr>
        <w:t xml:space="preserve">Pseudarthrosis in adult spine deformity surgery: risk factors and treatment options. Eur Spine J Off Publ Eur Spine Soc Eur Spinal Deform Soc Eur Sect Cerv Spine Res Soc. 5 mai 2021; </w:t>
      </w:r>
    </w:p>
    <w:p w:rsidR="0038265A" w:rsidRPr="0038265A" w:rsidRDefault="0038265A" w:rsidP="0038265A">
      <w:pPr>
        <w:pStyle w:val="Bibliographie"/>
        <w:tabs>
          <w:tab w:val="clear" w:pos="384"/>
          <w:tab w:val="left" w:pos="0"/>
        </w:tabs>
        <w:ind w:left="0" w:firstLine="0"/>
        <w:rPr>
          <w:rFonts w:ascii="Calibri" w:eastAsia="Calibri" w:hAnsi="Calibri" w:cs="Calibri"/>
          <w:sz w:val="18"/>
        </w:rPr>
      </w:pPr>
      <w:r>
        <w:rPr>
          <w:rFonts w:ascii="Calibri" w:eastAsia="Calibri" w:hAnsi="Calibri" w:cs="Calibri"/>
          <w:sz w:val="18"/>
        </w:rPr>
        <w:t xml:space="preserve">2. </w:t>
      </w:r>
      <w:r w:rsidRPr="0038265A">
        <w:rPr>
          <w:rFonts w:ascii="Calibri" w:eastAsia="Calibri" w:hAnsi="Calibri" w:cs="Calibri"/>
          <w:sz w:val="18"/>
        </w:rPr>
        <w:t>Guerin G, Laghmouche N, Moreau PE, Upex P, Jouffroy P, Riouallon G. Iliosacral screwing under navigation control: Technical note. Orthop Traumatol Surg Res OTSR. sept 2020;106(5):877</w:t>
      </w:r>
      <w:r w:rsidRPr="0038265A">
        <w:rPr>
          <w:rFonts w:ascii="Cambria Math" w:eastAsia="Calibri" w:hAnsi="Cambria Math" w:cs="Cambria Math"/>
          <w:sz w:val="18"/>
        </w:rPr>
        <w:t>‑</w:t>
      </w:r>
      <w:r w:rsidRPr="0038265A">
        <w:rPr>
          <w:rFonts w:ascii="Calibri" w:eastAsia="Calibri" w:hAnsi="Calibri" w:cs="Calibri"/>
          <w:sz w:val="18"/>
        </w:rPr>
        <w:t xml:space="preserve">80. </w:t>
      </w:r>
    </w:p>
    <w:p w:rsidR="0038265A" w:rsidRPr="0038265A" w:rsidRDefault="0038265A" w:rsidP="0038265A">
      <w:pPr>
        <w:pStyle w:val="Bibliographie"/>
        <w:tabs>
          <w:tab w:val="clear" w:pos="384"/>
          <w:tab w:val="left" w:pos="0"/>
        </w:tabs>
        <w:ind w:left="0" w:firstLine="0"/>
        <w:rPr>
          <w:rFonts w:ascii="Calibri" w:eastAsia="Calibri" w:hAnsi="Calibri" w:cs="Calibri"/>
          <w:sz w:val="18"/>
        </w:rPr>
      </w:pPr>
      <w:r>
        <w:rPr>
          <w:rFonts w:ascii="Calibri" w:eastAsia="Calibri" w:hAnsi="Calibri" w:cs="Calibri"/>
          <w:sz w:val="18"/>
        </w:rPr>
        <w:t xml:space="preserve">3. </w:t>
      </w:r>
      <w:r w:rsidRPr="0038265A">
        <w:rPr>
          <w:rFonts w:ascii="Calibri" w:eastAsia="Calibri" w:hAnsi="Calibri" w:cs="Calibri"/>
          <w:sz w:val="18"/>
        </w:rPr>
        <w:t>Wolff S, Habboubi K, Sebaaly A, Moreau PE, Miladi L, Riouallon G. Correction of adult spinal deformity with a minimally invasive fusionless bipolar construct: Preliminary results. Orthop Traumatol Surg Res OTSR. oct 2019;105(6):1149</w:t>
      </w:r>
      <w:r w:rsidRPr="0038265A">
        <w:rPr>
          <w:rFonts w:ascii="Cambria Math" w:eastAsia="Calibri" w:hAnsi="Cambria Math" w:cs="Cambria Math"/>
          <w:sz w:val="18"/>
        </w:rPr>
        <w:t>‑</w:t>
      </w:r>
      <w:r w:rsidRPr="0038265A">
        <w:rPr>
          <w:rFonts w:ascii="Calibri" w:eastAsia="Calibri" w:hAnsi="Calibri" w:cs="Calibri"/>
          <w:sz w:val="18"/>
        </w:rPr>
        <w:t xml:space="preserve">55. </w:t>
      </w:r>
    </w:p>
    <w:p w:rsidR="0038265A" w:rsidRPr="00FB2BD6" w:rsidRDefault="0038265A" w:rsidP="0038265A">
      <w:pPr>
        <w:pStyle w:val="Bibliographie"/>
        <w:tabs>
          <w:tab w:val="clear" w:pos="384"/>
          <w:tab w:val="left" w:pos="0"/>
        </w:tabs>
        <w:ind w:left="0" w:firstLine="0"/>
        <w:rPr>
          <w:rFonts w:ascii="Calibri" w:eastAsia="Calibri" w:hAnsi="Calibri" w:cs="Calibri"/>
          <w:sz w:val="18"/>
          <w:lang w:val="fr-FR"/>
        </w:rPr>
      </w:pPr>
      <w:r>
        <w:rPr>
          <w:rFonts w:ascii="Calibri" w:eastAsia="Calibri" w:hAnsi="Calibri" w:cs="Calibri"/>
          <w:sz w:val="18"/>
        </w:rPr>
        <w:t xml:space="preserve">4. </w:t>
      </w:r>
      <w:r w:rsidRPr="0038265A">
        <w:rPr>
          <w:rFonts w:ascii="Calibri" w:eastAsia="Calibri" w:hAnsi="Calibri" w:cs="Calibri"/>
          <w:sz w:val="18"/>
        </w:rPr>
        <w:t xml:space="preserve">Riouallon G, Morin C, Charles Y-P, Roussouly P, Kreichati G, Obeid I, et al. Posterior-only versus combined anterior/posterior fusion in Scheuermann disease: a large retrospective study. </w:t>
      </w:r>
      <w:proofErr w:type="spellStart"/>
      <w:r w:rsidRPr="00FB2BD6">
        <w:rPr>
          <w:rFonts w:ascii="Calibri" w:eastAsia="Calibri" w:hAnsi="Calibri" w:cs="Calibri"/>
          <w:sz w:val="18"/>
          <w:lang w:val="fr-FR"/>
        </w:rPr>
        <w:t>Eur</w:t>
      </w:r>
      <w:proofErr w:type="spellEnd"/>
      <w:r w:rsidRPr="00FB2BD6">
        <w:rPr>
          <w:rFonts w:ascii="Calibri" w:eastAsia="Calibri" w:hAnsi="Calibri" w:cs="Calibri"/>
          <w:sz w:val="18"/>
          <w:lang w:val="fr-FR"/>
        </w:rPr>
        <w:t xml:space="preserve"> </w:t>
      </w:r>
      <w:proofErr w:type="spellStart"/>
      <w:r w:rsidRPr="00FB2BD6">
        <w:rPr>
          <w:rFonts w:ascii="Calibri" w:eastAsia="Calibri" w:hAnsi="Calibri" w:cs="Calibri"/>
          <w:sz w:val="18"/>
          <w:lang w:val="fr-FR"/>
        </w:rPr>
        <w:t>Spine</w:t>
      </w:r>
      <w:proofErr w:type="spellEnd"/>
      <w:r w:rsidRPr="00FB2BD6">
        <w:rPr>
          <w:rFonts w:ascii="Calibri" w:eastAsia="Calibri" w:hAnsi="Calibri" w:cs="Calibri"/>
          <w:sz w:val="18"/>
          <w:lang w:val="fr-FR"/>
        </w:rPr>
        <w:t xml:space="preserve"> J Off </w:t>
      </w:r>
      <w:proofErr w:type="spellStart"/>
      <w:r w:rsidRPr="00FB2BD6">
        <w:rPr>
          <w:rFonts w:ascii="Calibri" w:eastAsia="Calibri" w:hAnsi="Calibri" w:cs="Calibri"/>
          <w:sz w:val="18"/>
          <w:lang w:val="fr-FR"/>
        </w:rPr>
        <w:t>Publ</w:t>
      </w:r>
      <w:proofErr w:type="spellEnd"/>
      <w:r w:rsidRPr="00FB2BD6">
        <w:rPr>
          <w:rFonts w:ascii="Calibri" w:eastAsia="Calibri" w:hAnsi="Calibri" w:cs="Calibri"/>
          <w:sz w:val="18"/>
          <w:lang w:val="fr-FR"/>
        </w:rPr>
        <w:t xml:space="preserve"> </w:t>
      </w:r>
      <w:proofErr w:type="spellStart"/>
      <w:r w:rsidRPr="00FB2BD6">
        <w:rPr>
          <w:rFonts w:ascii="Calibri" w:eastAsia="Calibri" w:hAnsi="Calibri" w:cs="Calibri"/>
          <w:sz w:val="18"/>
          <w:lang w:val="fr-FR"/>
        </w:rPr>
        <w:t>Eur</w:t>
      </w:r>
      <w:proofErr w:type="spellEnd"/>
      <w:r w:rsidRPr="00FB2BD6">
        <w:rPr>
          <w:rFonts w:ascii="Calibri" w:eastAsia="Calibri" w:hAnsi="Calibri" w:cs="Calibri"/>
          <w:sz w:val="18"/>
          <w:lang w:val="fr-FR"/>
        </w:rPr>
        <w:t xml:space="preserve"> </w:t>
      </w:r>
      <w:proofErr w:type="spellStart"/>
      <w:r w:rsidRPr="00FB2BD6">
        <w:rPr>
          <w:rFonts w:ascii="Calibri" w:eastAsia="Calibri" w:hAnsi="Calibri" w:cs="Calibri"/>
          <w:sz w:val="18"/>
          <w:lang w:val="fr-FR"/>
        </w:rPr>
        <w:t>Spine</w:t>
      </w:r>
      <w:proofErr w:type="spellEnd"/>
      <w:r w:rsidRPr="00FB2BD6">
        <w:rPr>
          <w:rFonts w:ascii="Calibri" w:eastAsia="Calibri" w:hAnsi="Calibri" w:cs="Calibri"/>
          <w:sz w:val="18"/>
          <w:lang w:val="fr-FR"/>
        </w:rPr>
        <w:t xml:space="preserve"> Soc </w:t>
      </w:r>
      <w:proofErr w:type="spellStart"/>
      <w:r w:rsidRPr="00FB2BD6">
        <w:rPr>
          <w:rFonts w:ascii="Calibri" w:eastAsia="Calibri" w:hAnsi="Calibri" w:cs="Calibri"/>
          <w:sz w:val="18"/>
          <w:lang w:val="fr-FR"/>
        </w:rPr>
        <w:t>Eur</w:t>
      </w:r>
      <w:proofErr w:type="spellEnd"/>
      <w:r w:rsidRPr="00FB2BD6">
        <w:rPr>
          <w:rFonts w:ascii="Calibri" w:eastAsia="Calibri" w:hAnsi="Calibri" w:cs="Calibri"/>
          <w:sz w:val="18"/>
          <w:lang w:val="fr-FR"/>
        </w:rPr>
        <w:t xml:space="preserve"> Spinal </w:t>
      </w:r>
      <w:proofErr w:type="spellStart"/>
      <w:r w:rsidRPr="00FB2BD6">
        <w:rPr>
          <w:rFonts w:ascii="Calibri" w:eastAsia="Calibri" w:hAnsi="Calibri" w:cs="Calibri"/>
          <w:sz w:val="18"/>
          <w:lang w:val="fr-FR"/>
        </w:rPr>
        <w:t>Deform</w:t>
      </w:r>
      <w:proofErr w:type="spellEnd"/>
      <w:r w:rsidRPr="00FB2BD6">
        <w:rPr>
          <w:rFonts w:ascii="Calibri" w:eastAsia="Calibri" w:hAnsi="Calibri" w:cs="Calibri"/>
          <w:sz w:val="18"/>
          <w:lang w:val="fr-FR"/>
        </w:rPr>
        <w:t xml:space="preserve"> Soc </w:t>
      </w:r>
      <w:proofErr w:type="spellStart"/>
      <w:r w:rsidRPr="00FB2BD6">
        <w:rPr>
          <w:rFonts w:ascii="Calibri" w:eastAsia="Calibri" w:hAnsi="Calibri" w:cs="Calibri"/>
          <w:sz w:val="18"/>
          <w:lang w:val="fr-FR"/>
        </w:rPr>
        <w:t>Eur</w:t>
      </w:r>
      <w:proofErr w:type="spellEnd"/>
      <w:r w:rsidRPr="00FB2BD6">
        <w:rPr>
          <w:rFonts w:ascii="Calibri" w:eastAsia="Calibri" w:hAnsi="Calibri" w:cs="Calibri"/>
          <w:sz w:val="18"/>
          <w:lang w:val="fr-FR"/>
        </w:rPr>
        <w:t xml:space="preserve"> </w:t>
      </w:r>
      <w:proofErr w:type="spellStart"/>
      <w:r w:rsidRPr="00FB2BD6">
        <w:rPr>
          <w:rFonts w:ascii="Calibri" w:eastAsia="Calibri" w:hAnsi="Calibri" w:cs="Calibri"/>
          <w:sz w:val="18"/>
          <w:lang w:val="fr-FR"/>
        </w:rPr>
        <w:t>Sect</w:t>
      </w:r>
      <w:proofErr w:type="spellEnd"/>
      <w:r w:rsidRPr="00FB2BD6">
        <w:rPr>
          <w:rFonts w:ascii="Calibri" w:eastAsia="Calibri" w:hAnsi="Calibri" w:cs="Calibri"/>
          <w:sz w:val="18"/>
          <w:lang w:val="fr-FR"/>
        </w:rPr>
        <w:t xml:space="preserve"> </w:t>
      </w:r>
      <w:proofErr w:type="spellStart"/>
      <w:r w:rsidRPr="00FB2BD6">
        <w:rPr>
          <w:rFonts w:ascii="Calibri" w:eastAsia="Calibri" w:hAnsi="Calibri" w:cs="Calibri"/>
          <w:sz w:val="18"/>
          <w:lang w:val="fr-FR"/>
        </w:rPr>
        <w:t>Cerv</w:t>
      </w:r>
      <w:proofErr w:type="spellEnd"/>
      <w:r w:rsidRPr="00FB2BD6">
        <w:rPr>
          <w:rFonts w:ascii="Calibri" w:eastAsia="Calibri" w:hAnsi="Calibri" w:cs="Calibri"/>
          <w:sz w:val="18"/>
          <w:lang w:val="fr-FR"/>
        </w:rPr>
        <w:t xml:space="preserve"> </w:t>
      </w:r>
      <w:proofErr w:type="spellStart"/>
      <w:r w:rsidRPr="00FB2BD6">
        <w:rPr>
          <w:rFonts w:ascii="Calibri" w:eastAsia="Calibri" w:hAnsi="Calibri" w:cs="Calibri"/>
          <w:sz w:val="18"/>
          <w:lang w:val="fr-FR"/>
        </w:rPr>
        <w:t>Spine</w:t>
      </w:r>
      <w:proofErr w:type="spellEnd"/>
      <w:r w:rsidRPr="00FB2BD6">
        <w:rPr>
          <w:rFonts w:ascii="Calibri" w:eastAsia="Calibri" w:hAnsi="Calibri" w:cs="Calibri"/>
          <w:sz w:val="18"/>
          <w:lang w:val="fr-FR"/>
        </w:rPr>
        <w:t xml:space="preserve"> </w:t>
      </w:r>
      <w:proofErr w:type="spellStart"/>
      <w:r w:rsidRPr="00FB2BD6">
        <w:rPr>
          <w:rFonts w:ascii="Calibri" w:eastAsia="Calibri" w:hAnsi="Calibri" w:cs="Calibri"/>
          <w:sz w:val="18"/>
          <w:lang w:val="fr-FR"/>
        </w:rPr>
        <w:t>Res</w:t>
      </w:r>
      <w:proofErr w:type="spellEnd"/>
      <w:r w:rsidRPr="00FB2BD6">
        <w:rPr>
          <w:rFonts w:ascii="Calibri" w:eastAsia="Calibri" w:hAnsi="Calibri" w:cs="Calibri"/>
          <w:sz w:val="18"/>
          <w:lang w:val="fr-FR"/>
        </w:rPr>
        <w:t xml:space="preserve"> Soc. sept 2018;27(9):2322</w:t>
      </w:r>
      <w:r w:rsidRPr="00FB2BD6">
        <w:rPr>
          <w:rFonts w:ascii="Cambria Math" w:eastAsia="Calibri" w:hAnsi="Cambria Math" w:cs="Cambria Math"/>
          <w:sz w:val="18"/>
          <w:lang w:val="fr-FR"/>
        </w:rPr>
        <w:t>‑</w:t>
      </w:r>
      <w:r w:rsidRPr="00FB2BD6">
        <w:rPr>
          <w:rFonts w:ascii="Calibri" w:eastAsia="Calibri" w:hAnsi="Calibri" w:cs="Calibri"/>
          <w:sz w:val="18"/>
          <w:lang w:val="fr-FR"/>
        </w:rPr>
        <w:t xml:space="preserve">30. </w:t>
      </w:r>
    </w:p>
    <w:p w:rsidR="00FB2BD6" w:rsidRDefault="00FB2BD6" w:rsidP="0038265A">
      <w:pPr>
        <w:pStyle w:val="Bibliographie"/>
        <w:tabs>
          <w:tab w:val="clear" w:pos="384"/>
          <w:tab w:val="left" w:pos="0"/>
        </w:tabs>
        <w:ind w:left="0" w:firstLine="0"/>
        <w:rPr>
          <w:rFonts w:ascii="Calibri" w:eastAsia="Calibri" w:hAnsi="Calibri" w:cs="Calibri"/>
          <w:sz w:val="18"/>
          <w:lang w:val="fr-FR"/>
        </w:rPr>
      </w:pPr>
    </w:p>
    <w:p w:rsidR="0038265A" w:rsidRPr="0038265A" w:rsidRDefault="0038265A" w:rsidP="0038265A">
      <w:pPr>
        <w:pStyle w:val="Bibliographie"/>
        <w:tabs>
          <w:tab w:val="clear" w:pos="384"/>
          <w:tab w:val="left" w:pos="0"/>
        </w:tabs>
        <w:ind w:left="0" w:firstLine="0"/>
        <w:rPr>
          <w:rFonts w:ascii="Calibri" w:eastAsia="Calibri" w:hAnsi="Calibri" w:cs="Calibri"/>
          <w:sz w:val="18"/>
        </w:rPr>
      </w:pPr>
      <w:r w:rsidRPr="0038265A">
        <w:rPr>
          <w:rFonts w:ascii="Calibri" w:eastAsia="Calibri" w:hAnsi="Calibri" w:cs="Calibri"/>
          <w:sz w:val="18"/>
          <w:lang w:val="fr-FR"/>
        </w:rPr>
        <w:t xml:space="preserve">5. Bouyer B, Scemama C, Roussouly P, Laouissat F, Obeid I, Boissière L, et al. </w:t>
      </w:r>
      <w:r w:rsidRPr="0038265A">
        <w:rPr>
          <w:rFonts w:ascii="Calibri" w:eastAsia="Calibri" w:hAnsi="Calibri" w:cs="Calibri"/>
          <w:sz w:val="18"/>
        </w:rPr>
        <w:t>Evolution and complications after surgery for spine deformation in patients with Parkinson’s disease. Orthop Traumatol Surg Res OTSR. juin 2017;103(4):517</w:t>
      </w:r>
      <w:r w:rsidRPr="0038265A">
        <w:rPr>
          <w:rFonts w:ascii="Cambria Math" w:eastAsia="Calibri" w:hAnsi="Cambria Math" w:cs="Cambria Math"/>
          <w:sz w:val="18"/>
        </w:rPr>
        <w:t>‑</w:t>
      </w:r>
      <w:r w:rsidRPr="0038265A">
        <w:rPr>
          <w:rFonts w:ascii="Calibri" w:eastAsia="Calibri" w:hAnsi="Calibri" w:cs="Calibri"/>
          <w:sz w:val="18"/>
        </w:rPr>
        <w:t xml:space="preserve">22. </w:t>
      </w:r>
    </w:p>
    <w:p w:rsidR="0038265A" w:rsidRPr="0038265A" w:rsidRDefault="0038265A" w:rsidP="0038265A">
      <w:pPr>
        <w:pStyle w:val="Bibliographie"/>
        <w:tabs>
          <w:tab w:val="clear" w:pos="384"/>
          <w:tab w:val="left" w:pos="0"/>
        </w:tabs>
        <w:ind w:left="0" w:firstLine="0"/>
        <w:rPr>
          <w:rFonts w:ascii="Calibri" w:eastAsia="Calibri" w:hAnsi="Calibri" w:cs="Calibri"/>
          <w:sz w:val="18"/>
        </w:rPr>
      </w:pPr>
      <w:r>
        <w:rPr>
          <w:rFonts w:ascii="Calibri" w:eastAsia="Calibri" w:hAnsi="Calibri" w:cs="Calibri"/>
          <w:sz w:val="18"/>
        </w:rPr>
        <w:t xml:space="preserve">6. </w:t>
      </w:r>
      <w:r w:rsidRPr="0038265A">
        <w:rPr>
          <w:rFonts w:ascii="Calibri" w:eastAsia="Calibri" w:hAnsi="Calibri" w:cs="Calibri"/>
          <w:sz w:val="18"/>
        </w:rPr>
        <w:t>Riouallon G, Bouyer B, Wolff S. Risk of revision surgery for adult idiopathic scoliosis: a survival analysis of 517 cases over 25 years. Eur Spine J Off Publ Eur Spine Soc Eur Spinal Deform Soc Eur Sect Cerv Spine Res Soc. août 2016;25(8):2527</w:t>
      </w:r>
      <w:r w:rsidRPr="0038265A">
        <w:rPr>
          <w:rFonts w:ascii="Cambria Math" w:eastAsia="Calibri" w:hAnsi="Cambria Math" w:cs="Cambria Math"/>
          <w:sz w:val="18"/>
        </w:rPr>
        <w:t>‑</w:t>
      </w:r>
      <w:r w:rsidRPr="0038265A">
        <w:rPr>
          <w:rFonts w:ascii="Calibri" w:eastAsia="Calibri" w:hAnsi="Calibri" w:cs="Calibri"/>
          <w:sz w:val="18"/>
        </w:rPr>
        <w:t xml:space="preserve">34. </w:t>
      </w:r>
    </w:p>
    <w:p w:rsidR="0038265A" w:rsidRPr="0038265A" w:rsidRDefault="0038265A" w:rsidP="0038265A">
      <w:pPr>
        <w:pStyle w:val="Bibliographie"/>
        <w:tabs>
          <w:tab w:val="clear" w:pos="384"/>
          <w:tab w:val="left" w:pos="0"/>
        </w:tabs>
        <w:ind w:left="0" w:firstLine="0"/>
        <w:rPr>
          <w:rFonts w:ascii="Calibri" w:eastAsia="Calibri" w:hAnsi="Calibri" w:cs="Calibri"/>
          <w:sz w:val="18"/>
        </w:rPr>
      </w:pPr>
      <w:r>
        <w:rPr>
          <w:rFonts w:ascii="Calibri" w:eastAsia="Calibri" w:hAnsi="Calibri" w:cs="Calibri"/>
          <w:sz w:val="18"/>
        </w:rPr>
        <w:t xml:space="preserve">7. </w:t>
      </w:r>
      <w:r w:rsidRPr="0038265A">
        <w:rPr>
          <w:rFonts w:ascii="Calibri" w:eastAsia="Calibri" w:hAnsi="Calibri" w:cs="Calibri"/>
          <w:sz w:val="18"/>
        </w:rPr>
        <w:t>Wolff S, Riouallon G. [Scoliosis in adulthood: a constant evolution]. Rev Prat. mars 2016;66(3):298</w:t>
      </w:r>
      <w:r w:rsidRPr="0038265A">
        <w:rPr>
          <w:rFonts w:ascii="Cambria Math" w:eastAsia="Calibri" w:hAnsi="Cambria Math" w:cs="Cambria Math"/>
          <w:sz w:val="18"/>
        </w:rPr>
        <w:t>‑</w:t>
      </w:r>
      <w:r w:rsidRPr="0038265A">
        <w:rPr>
          <w:rFonts w:ascii="Calibri" w:eastAsia="Calibri" w:hAnsi="Calibri" w:cs="Calibri"/>
          <w:sz w:val="18"/>
        </w:rPr>
        <w:t xml:space="preserve">302. </w:t>
      </w:r>
    </w:p>
    <w:p w:rsidR="0038265A" w:rsidRDefault="0038265A" w:rsidP="0038265A">
      <w:pPr>
        <w:tabs>
          <w:tab w:val="left" w:pos="0"/>
        </w:tabs>
        <w:spacing w:line="204" w:lineRule="exact"/>
        <w:rPr>
          <w:rFonts w:ascii="Arial"/>
          <w:b/>
          <w:sz w:val="20"/>
        </w:rPr>
      </w:pPr>
      <w:r w:rsidRPr="0038265A">
        <w:rPr>
          <w:rFonts w:ascii="Calibri" w:eastAsia="Calibri" w:hAnsi="Calibri" w:cs="Calibri"/>
          <w:sz w:val="18"/>
        </w:rPr>
        <w:fldChar w:fldCharType="end"/>
      </w:r>
    </w:p>
    <w:p w:rsidR="00AE3E37" w:rsidRDefault="00AE3E37" w:rsidP="008756E6">
      <w:pPr>
        <w:tabs>
          <w:tab w:val="left" w:pos="384"/>
        </w:tabs>
        <w:ind w:right="117"/>
      </w:pPr>
    </w:p>
    <w:p w:rsidR="00FB2BD6" w:rsidRPr="008756E6" w:rsidRDefault="00FB2BD6"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FB2BD6" w:rsidRDefault="00D62425">
      <w:pPr>
        <w:pStyle w:val="Corpsdetexte"/>
        <w:rPr>
          <w:rFonts w:ascii="Calibri"/>
          <w:sz w:val="20"/>
        </w:rPr>
      </w:pPr>
      <w:r>
        <w:rPr>
          <w:rFonts w:ascii="Calibri"/>
          <w:sz w:val="20"/>
        </w:rPr>
        <w:t xml:space="preserve">                </w:t>
      </w:r>
    </w:p>
    <w:p w:rsidR="00FB2BD6" w:rsidRDefault="00FB2BD6">
      <w:pPr>
        <w:pStyle w:val="Corpsdetexte"/>
        <w:rPr>
          <w:rFonts w:ascii="Calibri"/>
          <w:sz w:val="20"/>
        </w:rPr>
      </w:pPr>
    </w:p>
    <w:p w:rsidR="00AE3E37" w:rsidRPr="00D62425" w:rsidRDefault="00D62425">
      <w:pPr>
        <w:pStyle w:val="Corpsdetexte"/>
        <w:rPr>
          <w:rFonts w:ascii="Calibri"/>
          <w:b/>
          <w:sz w:val="20"/>
        </w:rPr>
      </w:pPr>
      <w:r>
        <w:rPr>
          <w:rFonts w:ascii="Calibri"/>
          <w:sz w:val="20"/>
        </w:rPr>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106E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B2BD6" w:rsidRDefault="008756E6" w:rsidP="00404E5B">
      <w:pPr>
        <w:spacing w:before="92"/>
        <w:ind w:right="4234"/>
        <w:rPr>
          <w:noProof/>
        </w:rPr>
      </w:pPr>
      <w:r>
        <w:rPr>
          <w:noProof/>
        </w:rPr>
        <w:t xml:space="preserve">              </w:t>
      </w:r>
      <w:r w:rsidR="00FB2BD6">
        <w:rPr>
          <w:noProof/>
          <w:lang w:val="fr-FR" w:eastAsia="fr-FR"/>
        </w:rPr>
        <w:drawing>
          <wp:inline distT="0" distB="0" distL="0" distR="0" wp14:anchorId="0838FFAB" wp14:editId="0DB4ECB6">
            <wp:extent cx="442906"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2906" cy="625069"/>
                    </a:xfrm>
                    <a:prstGeom prst="rect">
                      <a:avLst/>
                    </a:prstGeom>
                    <a:noFill/>
                    <a:ln>
                      <a:noFill/>
                    </a:ln>
                  </pic:spPr>
                </pic:pic>
              </a:graphicData>
            </a:graphic>
          </wp:inline>
        </w:drawing>
      </w:r>
      <w:r w:rsidR="00FB2BD6">
        <w:rPr>
          <w:noProof/>
          <w:lang w:val="fr-FR" w:eastAsia="fr-FR"/>
        </w:rPr>
        <mc:AlternateContent>
          <mc:Choice Requires="wps">
            <w:drawing>
              <wp:inline distT="0" distB="0" distL="0" distR="0" wp14:anchorId="6A254B2C" wp14:editId="37E51010">
                <wp:extent cx="302895" cy="302895"/>
                <wp:effectExtent l="0" t="0" r="0" b="0"/>
                <wp:docPr id="2" name="AutoShape 2" descr="Dr Guillaume RIOUALLON, Chirurgien orthopédiste à Par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235B25" id="AutoShape 2" o:spid="_x0000_s1026" alt="Dr Guillaume RIOUALLON, Chirurgien orthopédiste à Paris"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" filled="f" stroked="f">
                <o:lock v:ext="edit" aspectratio="t"/>
                <w10:anchorlock/>
              </v:rect>
            </w:pict>
          </mc:Fallback>
        </mc:AlternateContent>
      </w:r>
    </w:p>
    <w:p w:rsidR="00AE3E37" w:rsidRDefault="00A9710C" w:rsidP="00404E5B">
      <w:pPr>
        <w:spacing w:before="92"/>
        <w:ind w:right="4234"/>
        <w:rPr>
          <w:rFonts w:ascii="Arial"/>
        </w:rPr>
      </w:pPr>
      <w:r>
        <w:rPr>
          <w:rFonts w:ascii="Arial"/>
          <w:color w:val="BF5A14"/>
        </w:rPr>
        <w:t>Biography</w:t>
      </w:r>
    </w:p>
    <w:p w:rsidR="00FB2BD6"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FB2BD6">
        <w:rPr>
          <w:rFonts w:ascii="Arial"/>
          <w:sz w:val="14"/>
        </w:rPr>
        <w:t>Riouallon has his</w:t>
      </w:r>
      <w:r>
        <w:rPr>
          <w:rFonts w:ascii="Arial"/>
          <w:sz w:val="14"/>
        </w:rPr>
        <w:t xml:space="preserve"> expertise in </w:t>
      </w:r>
      <w:r w:rsidR="00FB2BD6">
        <w:rPr>
          <w:rFonts w:ascii="Arial"/>
          <w:sz w:val="14"/>
        </w:rPr>
        <w:t>Spine surgery and more specifically in spinal deformities</w:t>
      </w:r>
      <w:r>
        <w:rPr>
          <w:rFonts w:ascii="Arial"/>
          <w:sz w:val="14"/>
        </w:rPr>
        <w:t xml:space="preserve"> and</w:t>
      </w:r>
      <w:r w:rsidR="00FB2BD6">
        <w:rPr>
          <w:rFonts w:ascii="Arial"/>
          <w:sz w:val="14"/>
        </w:rPr>
        <w:t xml:space="preserve"> Scoliosis</w:t>
      </w:r>
      <w:r>
        <w:rPr>
          <w:rFonts w:ascii="Arial"/>
          <w:sz w:val="14"/>
        </w:rPr>
        <w:t xml:space="preserve">. </w:t>
      </w:r>
      <w:r w:rsidR="00FB2BD6">
        <w:rPr>
          <w:rFonts w:ascii="Arial"/>
          <w:sz w:val="14"/>
        </w:rPr>
        <w:t xml:space="preserve">He is the head of the Spine surgery department at the Paris Saint Joseph Hospital. He is an active member of the board of the French </w:t>
      </w:r>
      <w:r w:rsidR="00FB2BD6">
        <w:rPr>
          <w:rFonts w:ascii="Arial"/>
          <w:sz w:val="14"/>
        </w:rPr>
        <w:t>Society</w:t>
      </w:r>
      <w:r w:rsidR="00FB2BD6">
        <w:rPr>
          <w:rFonts w:ascii="Arial"/>
          <w:sz w:val="14"/>
        </w:rPr>
        <w:t xml:space="preserve"> of Spine Surgery. He is also member of the scientific council of the Cotrel Foundation which promotes fundamental and clinical research on scoliosis. He works with </w:t>
      </w:r>
      <w:proofErr w:type="spellStart"/>
      <w:r w:rsidR="00FB2BD6">
        <w:rPr>
          <w:rFonts w:ascii="Arial"/>
          <w:sz w:val="14"/>
        </w:rPr>
        <w:t>Pr</w:t>
      </w:r>
      <w:proofErr w:type="spellEnd"/>
      <w:r w:rsidR="00FB2BD6">
        <w:rPr>
          <w:rFonts w:ascii="Arial"/>
          <w:sz w:val="14"/>
        </w:rPr>
        <w:t xml:space="preserve"> Jean Dubousset in this board and develop the bipolar fixation presented in this abstract with his collaboration.</w:t>
      </w:r>
    </w:p>
    <w:p w:rsidR="00FB2BD6" w:rsidRDefault="00FB2BD6">
      <w:pPr>
        <w:spacing w:before="41" w:line="154" w:lineRule="exact"/>
        <w:ind w:left="213" w:right="231"/>
        <w:jc w:val="both"/>
        <w:rPr>
          <w:rFonts w:ascii="Arial"/>
          <w:sz w:val="14"/>
        </w:rPr>
      </w:pP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r w:rsidR="00FB2BD6">
        <w:rPr>
          <w:rStyle w:val="Lienhypertexte"/>
          <w:rFonts w:ascii="Arial"/>
          <w:sz w:val="14"/>
        </w:rPr>
        <w:t>griouallon@ghpsj.fr</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929F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B63" w:rsidRDefault="000D6B63">
      <w:r>
        <w:separator/>
      </w:r>
    </w:p>
  </w:endnote>
  <w:endnote w:type="continuationSeparator" w:id="0">
    <w:p w:rsidR="000D6B63" w:rsidRDefault="000D6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B63" w:rsidRDefault="000D6B63">
      <w:r>
        <w:separator/>
      </w:r>
    </w:p>
  </w:footnote>
  <w:footnote w:type="continuationSeparator" w:id="0">
    <w:p w:rsidR="000D6B63" w:rsidRDefault="000D6B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43BD9" w:rsidRDefault="00A9710C">
                          <w:pPr>
                            <w:spacing w:before="2" w:line="249" w:lineRule="auto"/>
                            <w:ind w:left="156" w:right="18" w:hanging="137"/>
                            <w:rPr>
                              <w:rFonts w:ascii="Arial"/>
                              <w:color w:val="FFFFFF" w:themeColor="background1"/>
                              <w:sz w:val="14"/>
                              <w:lang w:val="fr-FR"/>
                            </w:rPr>
                          </w:pPr>
                          <w:r w:rsidRPr="00243BD9">
                            <w:rPr>
                              <w:rFonts w:ascii="Arial"/>
                              <w:color w:val="FFFFFF" w:themeColor="background1"/>
                              <w:sz w:val="14"/>
                              <w:lang w:val="fr-FR"/>
                            </w:rPr>
                            <w:t xml:space="preserve">T Furuta et </w:t>
                          </w:r>
                          <w:proofErr w:type="gramStart"/>
                          <w:r w:rsidRPr="00243BD9">
                            <w:rPr>
                              <w:rFonts w:ascii="Arial"/>
                              <w:color w:val="FFFFFF" w:themeColor="background1"/>
                              <w:sz w:val="14"/>
                              <w:lang w:val="fr-FR"/>
                            </w:rPr>
                            <w:t>al.,</w:t>
                          </w:r>
                          <w:proofErr w:type="gramEnd"/>
                          <w:r w:rsidRPr="00243BD9">
                            <w:rPr>
                              <w:rFonts w:ascii="Arial"/>
                              <w:color w:val="FFFFFF" w:themeColor="background1"/>
                              <w:sz w:val="14"/>
                              <w:lang w:val="fr-FR"/>
                            </w:rPr>
                            <w:t xml:space="preserve"> J </w:t>
                          </w:r>
                          <w:proofErr w:type="spellStart"/>
                          <w:r w:rsidRPr="00243BD9">
                            <w:rPr>
                              <w:rFonts w:ascii="Arial"/>
                              <w:color w:val="FFFFFF" w:themeColor="background1"/>
                              <w:sz w:val="14"/>
                              <w:lang w:val="fr-FR"/>
                            </w:rPr>
                            <w:t>Pai</w:t>
                          </w:r>
                          <w:proofErr w:type="spellEnd"/>
                          <w:r w:rsidRPr="00243BD9">
                            <w:rPr>
                              <w:rFonts w:ascii="Arial"/>
                              <w:color w:val="FFFFFF" w:themeColor="background1"/>
                              <w:sz w:val="14"/>
                              <w:lang w:val="fr-FR"/>
                            </w:rPr>
                            <w:t xml:space="preserve"> n Relief 2016, 5:3(</w:t>
                          </w:r>
                          <w:proofErr w:type="spellStart"/>
                          <w:r w:rsidRPr="00243BD9">
                            <w:rPr>
                              <w:rFonts w:ascii="Arial"/>
                              <w:color w:val="FFFFFF" w:themeColor="background1"/>
                              <w:sz w:val="14"/>
                              <w:lang w:val="fr-FR"/>
                            </w:rPr>
                            <w:t>Suppl</w:t>
                          </w:r>
                          <w:proofErr w:type="spellEnd"/>
                          <w:r w:rsidRPr="00243BD9">
                            <w:rPr>
                              <w:rFonts w:ascii="Arial"/>
                              <w:color w:val="FFFFFF" w:themeColor="background1"/>
                              <w:sz w:val="14"/>
                              <w:lang w:val="fr-FR"/>
                            </w:rPr>
                            <w:t xml:space="preserve">) </w:t>
                          </w:r>
                          <w:hyperlink r:id="rId1">
                            <w:r w:rsidRPr="00243BD9">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43BD9" w:rsidRDefault="00A9710C">
                    <w:pPr>
                      <w:spacing w:before="2" w:line="249" w:lineRule="auto"/>
                      <w:ind w:left="156" w:right="18" w:hanging="137"/>
                      <w:rPr>
                        <w:rFonts w:ascii="Arial"/>
                        <w:color w:val="FFFFFF" w:themeColor="background1"/>
                        <w:sz w:val="14"/>
                        <w:lang w:val="fr-FR"/>
                      </w:rPr>
                    </w:pPr>
                    <w:r w:rsidRPr="00243BD9">
                      <w:rPr>
                        <w:rFonts w:ascii="Arial"/>
                        <w:color w:val="FFFFFF" w:themeColor="background1"/>
                        <w:sz w:val="14"/>
                        <w:lang w:val="fr-FR"/>
                      </w:rPr>
                      <w:t xml:space="preserve">T Furuta et </w:t>
                    </w:r>
                    <w:proofErr w:type="gramStart"/>
                    <w:r w:rsidRPr="00243BD9">
                      <w:rPr>
                        <w:rFonts w:ascii="Arial"/>
                        <w:color w:val="FFFFFF" w:themeColor="background1"/>
                        <w:sz w:val="14"/>
                        <w:lang w:val="fr-FR"/>
                      </w:rPr>
                      <w:t>al.,</w:t>
                    </w:r>
                    <w:proofErr w:type="gramEnd"/>
                    <w:r w:rsidRPr="00243BD9">
                      <w:rPr>
                        <w:rFonts w:ascii="Arial"/>
                        <w:color w:val="FFFFFF" w:themeColor="background1"/>
                        <w:sz w:val="14"/>
                        <w:lang w:val="fr-FR"/>
                      </w:rPr>
                      <w:t xml:space="preserve"> J </w:t>
                    </w:r>
                    <w:proofErr w:type="spellStart"/>
                    <w:r w:rsidRPr="00243BD9">
                      <w:rPr>
                        <w:rFonts w:ascii="Arial"/>
                        <w:color w:val="FFFFFF" w:themeColor="background1"/>
                        <w:sz w:val="14"/>
                        <w:lang w:val="fr-FR"/>
                      </w:rPr>
                      <w:t>Pai</w:t>
                    </w:r>
                    <w:proofErr w:type="spellEnd"/>
                    <w:r w:rsidRPr="00243BD9">
                      <w:rPr>
                        <w:rFonts w:ascii="Arial"/>
                        <w:color w:val="FFFFFF" w:themeColor="background1"/>
                        <w:sz w:val="14"/>
                        <w:lang w:val="fr-FR"/>
                      </w:rPr>
                      <w:t xml:space="preserve"> n Relief 2016, 5:3(</w:t>
                    </w:r>
                    <w:proofErr w:type="spellStart"/>
                    <w:r w:rsidRPr="00243BD9">
                      <w:rPr>
                        <w:rFonts w:ascii="Arial"/>
                        <w:color w:val="FFFFFF" w:themeColor="background1"/>
                        <w:sz w:val="14"/>
                        <w:lang w:val="fr-FR"/>
                      </w:rPr>
                      <w:t>Suppl</w:t>
                    </w:r>
                    <w:proofErr w:type="spellEnd"/>
                    <w:r w:rsidRPr="00243BD9">
                      <w:rPr>
                        <w:rFonts w:ascii="Arial"/>
                        <w:color w:val="FFFFFF" w:themeColor="background1"/>
                        <w:sz w:val="14"/>
                        <w:lang w:val="fr-FR"/>
                      </w:rPr>
                      <w:t xml:space="preserve">) </w:t>
                    </w:r>
                    <w:hyperlink r:id="rId2">
                      <w:r w:rsidRPr="00243BD9">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6B63"/>
    <w:rsid w:val="000E2911"/>
    <w:rsid w:val="001263DF"/>
    <w:rsid w:val="001E763C"/>
    <w:rsid w:val="00243BD9"/>
    <w:rsid w:val="00292ED9"/>
    <w:rsid w:val="002E5490"/>
    <w:rsid w:val="00314AFB"/>
    <w:rsid w:val="0038265A"/>
    <w:rsid w:val="003B76D9"/>
    <w:rsid w:val="00404E5B"/>
    <w:rsid w:val="00414F7B"/>
    <w:rsid w:val="004355DC"/>
    <w:rsid w:val="00473C7E"/>
    <w:rsid w:val="004749B4"/>
    <w:rsid w:val="00494130"/>
    <w:rsid w:val="004F3523"/>
    <w:rsid w:val="005973B9"/>
    <w:rsid w:val="005B3A56"/>
    <w:rsid w:val="006060CE"/>
    <w:rsid w:val="0063497F"/>
    <w:rsid w:val="00745309"/>
    <w:rsid w:val="007767D2"/>
    <w:rsid w:val="0078738A"/>
    <w:rsid w:val="00873DF0"/>
    <w:rsid w:val="008756E6"/>
    <w:rsid w:val="008A7110"/>
    <w:rsid w:val="009B2D44"/>
    <w:rsid w:val="00A07E82"/>
    <w:rsid w:val="00A9710C"/>
    <w:rsid w:val="00AE3E37"/>
    <w:rsid w:val="00B21A57"/>
    <w:rsid w:val="00B555E0"/>
    <w:rsid w:val="00C33602"/>
    <w:rsid w:val="00CD6F55"/>
    <w:rsid w:val="00D62425"/>
    <w:rsid w:val="00D85439"/>
    <w:rsid w:val="00DE3104"/>
    <w:rsid w:val="00F72EEA"/>
    <w:rsid w:val="00F8136A"/>
    <w:rsid w:val="00F84CAE"/>
    <w:rsid w:val="00FB2B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A3F2D4-E6D6-4618-BA4F-40FF1A03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Bibliographie">
    <w:name w:val="Bibliography"/>
    <w:basedOn w:val="Normal"/>
    <w:next w:val="Normal"/>
    <w:uiPriority w:val="37"/>
    <w:unhideWhenUsed/>
    <w:rsid w:val="0038265A"/>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765</Words>
  <Characters>4211</Characters>
  <Application>Microsoft Office Word</Application>
  <DocSecurity>0</DocSecurity>
  <Lines>35</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Guillaume RIOUALLON</cp:lastModifiedBy>
  <cp:revision>10</cp:revision>
  <dcterms:created xsi:type="dcterms:W3CDTF">2021-08-30T09:31:00Z</dcterms:created>
  <dcterms:modified xsi:type="dcterms:W3CDTF">2021-08-31T21:12:00Z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ZOTERO_PREF_1">
    <vt:lpwstr>&lt;data data-version="3" zotero-version="5.0.93"&gt;&lt;session id="n2IFO3qU"/&gt;&lt;style id="http://www.zotero.org/styles/vancouver" locale="fr-FR" hasBibliography="1" bibliographyStyleHasBeenSet="1"/&gt;&lt;prefs&gt;&lt;pref name="fieldType" value="Field"/&gt;&lt;pref name="automati</vt:lpwstr>
  </property>
  <property fmtid="{D5CDD505-2E9C-101B-9397-08002B2CF9AE}" pid="6" name="ZOTERO_PREF_2">
    <vt:lpwstr>cJournalAbbreviations" value="true"/&gt;&lt;/prefs&gt;&lt;/data&gt;</vt:lpwstr>
  </property>
</Properties>
</file>