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5B6F" w:rsidRPr="00EF5B6F" w:rsidRDefault="00EF5B6F" w:rsidP="002977EC">
      <w:pPr>
        <w:pStyle w:val="Corpo"/>
        <w:spacing w:before="240" w:after="0" w:line="480" w:lineRule="auto"/>
        <w:jc w:val="center"/>
        <w:rPr>
          <w:rFonts w:ascii="Tw Cen MT" w:eastAsia="Times New Roman" w:hAnsi="Tw Cen MT" w:cs="Times New Roman"/>
          <w:b/>
          <w:bCs/>
          <w:sz w:val="32"/>
          <w:szCs w:val="32"/>
        </w:rPr>
      </w:pPr>
      <w:r w:rsidRPr="00EF5B6F">
        <w:rPr>
          <w:rFonts w:ascii="Tw Cen MT" w:hAnsi="Tw Cen MT" w:cs="Times New Roman"/>
          <w:b/>
          <w:bCs/>
          <w:sz w:val="32"/>
          <w:szCs w:val="32"/>
        </w:rPr>
        <w:t>Different Concepts of Bracing in Adolescent Idiopathic Scoliosis (AIS), a</w:t>
      </w:r>
    </w:p>
    <w:p w:rsidR="00EF5B6F" w:rsidRPr="00EF5B6F" w:rsidRDefault="00EF5B6F" w:rsidP="002977EC">
      <w:pPr>
        <w:pStyle w:val="Corpo"/>
        <w:spacing w:before="240" w:after="0" w:line="480" w:lineRule="auto"/>
        <w:ind w:left="708"/>
        <w:jc w:val="center"/>
        <w:rPr>
          <w:rFonts w:ascii="Tw Cen MT" w:eastAsia="Times New Roman" w:hAnsi="Tw Cen MT" w:cs="Times New Roman"/>
          <w:b/>
          <w:bCs/>
          <w:sz w:val="32"/>
          <w:szCs w:val="32"/>
        </w:rPr>
      </w:pPr>
      <w:r w:rsidRPr="00EF5B6F">
        <w:rPr>
          <w:rFonts w:ascii="Tw Cen MT" w:hAnsi="Tw Cen MT" w:cs="Times New Roman"/>
          <w:b/>
          <w:bCs/>
          <w:sz w:val="32"/>
          <w:szCs w:val="32"/>
        </w:rPr>
        <w:t>systematic review and meta-analysis.</w:t>
      </w:r>
    </w:p>
    <w:p w:rsidR="00EF5B6F" w:rsidRPr="00EF5B6F" w:rsidRDefault="00EF5B6F" w:rsidP="002977EC">
      <w:pPr>
        <w:pStyle w:val="Corpo"/>
        <w:spacing w:before="240" w:after="0" w:line="240" w:lineRule="auto"/>
        <w:ind w:left="720"/>
        <w:jc w:val="center"/>
        <w:rPr>
          <w:rStyle w:val="Hyperlink0"/>
          <w:rFonts w:ascii="Tw Cen MT" w:eastAsia="Segoe UI" w:hAnsi="Tw Cen MT"/>
          <w:sz w:val="18"/>
          <w:szCs w:val="20"/>
          <w:lang w:val="it-IT"/>
        </w:rPr>
      </w:pPr>
      <w:r w:rsidRPr="00EF5B6F">
        <w:rPr>
          <w:rFonts w:ascii="Tw Cen MT" w:hAnsi="Tw Cen MT" w:cs="Times New Roman"/>
          <w:i/>
          <w:iCs/>
          <w:sz w:val="18"/>
          <w:szCs w:val="20"/>
          <w:lang w:val="it-IT"/>
        </w:rPr>
        <w:t>Lorenzo Costa, MD</w:t>
      </w:r>
    </w:p>
    <w:p w:rsidR="00EF5B6F" w:rsidRPr="00EF5B6F" w:rsidRDefault="00EF5B6F" w:rsidP="002977EC">
      <w:pPr>
        <w:pStyle w:val="Corpo"/>
        <w:spacing w:before="240" w:after="0" w:line="240" w:lineRule="auto"/>
        <w:ind w:left="720"/>
        <w:jc w:val="center"/>
        <w:rPr>
          <w:rFonts w:ascii="Tw Cen MT" w:eastAsia="Times New Roman" w:hAnsi="Tw Cen MT" w:cs="Times New Roman"/>
          <w:i/>
          <w:iCs/>
          <w:sz w:val="18"/>
          <w:szCs w:val="20"/>
          <w:u w:val="single"/>
        </w:rPr>
      </w:pPr>
      <w:r w:rsidRPr="00EF5B6F">
        <w:rPr>
          <w:rFonts w:ascii="Tw Cen MT" w:hAnsi="Tw Cen MT" w:cs="Times New Roman"/>
          <w:i/>
          <w:iCs/>
          <w:sz w:val="18"/>
          <w:szCs w:val="20"/>
        </w:rPr>
        <w:t>Tom P.C. Schlosser, MD PhD</w:t>
      </w:r>
    </w:p>
    <w:p w:rsidR="00EF5B6F" w:rsidRPr="00EF5B6F" w:rsidRDefault="00EF5B6F" w:rsidP="002977EC">
      <w:pPr>
        <w:pStyle w:val="Corpo"/>
        <w:spacing w:before="240" w:after="0" w:line="240" w:lineRule="auto"/>
        <w:ind w:left="720"/>
        <w:jc w:val="center"/>
        <w:rPr>
          <w:rFonts w:ascii="Tw Cen MT" w:eastAsia="Times New Roman" w:hAnsi="Tw Cen MT" w:cs="Times New Roman"/>
          <w:i/>
          <w:iCs/>
          <w:sz w:val="18"/>
          <w:szCs w:val="20"/>
        </w:rPr>
      </w:pPr>
      <w:proofErr w:type="spellStart"/>
      <w:r w:rsidRPr="00EF5B6F">
        <w:rPr>
          <w:rFonts w:ascii="Tw Cen MT" w:hAnsi="Tw Cen MT" w:cs="Times New Roman"/>
          <w:i/>
          <w:iCs/>
          <w:sz w:val="18"/>
          <w:szCs w:val="20"/>
        </w:rPr>
        <w:t>Hanad</w:t>
      </w:r>
      <w:proofErr w:type="spellEnd"/>
      <w:r w:rsidRPr="00EF5B6F">
        <w:rPr>
          <w:rFonts w:ascii="Tw Cen MT" w:hAnsi="Tw Cen MT" w:cs="Times New Roman"/>
          <w:i/>
          <w:iCs/>
          <w:sz w:val="18"/>
          <w:szCs w:val="20"/>
        </w:rPr>
        <w:t xml:space="preserve"> Jimale, MS</w:t>
      </w:r>
    </w:p>
    <w:p w:rsidR="00EF5B6F" w:rsidRPr="00EF5B6F" w:rsidRDefault="00EF5B6F" w:rsidP="002977EC">
      <w:pPr>
        <w:pStyle w:val="Corpo"/>
        <w:spacing w:before="240" w:after="0" w:line="240" w:lineRule="auto"/>
        <w:ind w:left="720"/>
        <w:jc w:val="center"/>
        <w:rPr>
          <w:rFonts w:ascii="Tw Cen MT" w:eastAsia="Times New Roman" w:hAnsi="Tw Cen MT" w:cs="Times New Roman"/>
          <w:i/>
          <w:iCs/>
          <w:sz w:val="18"/>
          <w:szCs w:val="20"/>
        </w:rPr>
      </w:pPr>
      <w:proofErr w:type="spellStart"/>
      <w:r w:rsidRPr="00EF5B6F">
        <w:rPr>
          <w:rFonts w:ascii="Tw Cen MT" w:hAnsi="Tw Cen MT" w:cs="Times New Roman"/>
          <w:i/>
          <w:iCs/>
          <w:sz w:val="18"/>
          <w:szCs w:val="20"/>
        </w:rPr>
        <w:t>Jelle</w:t>
      </w:r>
      <w:proofErr w:type="spellEnd"/>
      <w:r w:rsidRPr="00EF5B6F">
        <w:rPr>
          <w:rFonts w:ascii="Tw Cen MT" w:hAnsi="Tw Cen MT" w:cs="Times New Roman"/>
          <w:i/>
          <w:iCs/>
          <w:sz w:val="18"/>
          <w:szCs w:val="20"/>
        </w:rPr>
        <w:t xml:space="preserve"> F. Homans, MD PhD</w:t>
      </w:r>
    </w:p>
    <w:p w:rsidR="00EF5B6F" w:rsidRPr="00EF5B6F" w:rsidRDefault="00EF5B6F" w:rsidP="002977EC">
      <w:pPr>
        <w:pStyle w:val="Corpo"/>
        <w:spacing w:before="240" w:after="0" w:line="240" w:lineRule="auto"/>
        <w:ind w:left="720"/>
        <w:jc w:val="center"/>
        <w:rPr>
          <w:rFonts w:ascii="Tw Cen MT" w:eastAsia="Times New Roman" w:hAnsi="Tw Cen MT" w:cs="Times New Roman"/>
          <w:i/>
          <w:iCs/>
          <w:sz w:val="18"/>
          <w:szCs w:val="20"/>
        </w:rPr>
      </w:pPr>
      <w:r w:rsidRPr="00EF5B6F">
        <w:rPr>
          <w:rFonts w:ascii="Tw Cen MT" w:hAnsi="Tw Cen MT" w:cs="Times New Roman"/>
          <w:i/>
          <w:iCs/>
          <w:sz w:val="18"/>
          <w:szCs w:val="20"/>
        </w:rPr>
        <w:t xml:space="preserve">Moyo C. </w:t>
      </w:r>
      <w:proofErr w:type="spellStart"/>
      <w:r w:rsidRPr="00EF5B6F">
        <w:rPr>
          <w:rFonts w:ascii="Tw Cen MT" w:hAnsi="Tw Cen MT" w:cs="Times New Roman"/>
          <w:i/>
          <w:iCs/>
          <w:sz w:val="18"/>
          <w:szCs w:val="20"/>
        </w:rPr>
        <w:t>Kruyt</w:t>
      </w:r>
      <w:proofErr w:type="spellEnd"/>
      <w:r w:rsidRPr="00EF5B6F">
        <w:rPr>
          <w:rFonts w:ascii="Tw Cen MT" w:hAnsi="Tw Cen MT" w:cs="Times New Roman"/>
          <w:i/>
          <w:iCs/>
          <w:sz w:val="18"/>
          <w:szCs w:val="20"/>
        </w:rPr>
        <w:t>, MD PhD</w:t>
      </w:r>
    </w:p>
    <w:p w:rsidR="00EF5B6F" w:rsidRPr="00EF5B6F" w:rsidRDefault="00EF5B6F" w:rsidP="002977EC">
      <w:pPr>
        <w:pStyle w:val="Corpo"/>
        <w:spacing w:before="240" w:after="0" w:line="240" w:lineRule="auto"/>
        <w:ind w:left="720"/>
        <w:jc w:val="center"/>
        <w:rPr>
          <w:rFonts w:ascii="Tw Cen MT" w:eastAsia="Times New Roman" w:hAnsi="Tw Cen MT" w:cs="Times New Roman"/>
          <w:i/>
          <w:iCs/>
          <w:sz w:val="18"/>
          <w:szCs w:val="20"/>
          <w:lang w:val="nl-NL"/>
        </w:rPr>
      </w:pPr>
      <w:r w:rsidRPr="00EF5B6F">
        <w:rPr>
          <w:rFonts w:ascii="Tw Cen MT" w:hAnsi="Tw Cen MT" w:cs="Times New Roman"/>
          <w:i/>
          <w:iCs/>
          <w:sz w:val="18"/>
          <w:szCs w:val="20"/>
          <w:lang w:val="nl-NL"/>
        </w:rPr>
        <w:t>René M. Castelein, MD PhD</w:t>
      </w:r>
    </w:p>
    <w:p w:rsidR="00AE3E37" w:rsidRPr="00EF5B6F" w:rsidRDefault="00AE3E37" w:rsidP="002977EC">
      <w:pPr>
        <w:pStyle w:val="BodyText"/>
        <w:jc w:val="center"/>
        <w:rPr>
          <w:rFonts w:ascii="Arial"/>
          <w:sz w:val="20"/>
          <w:lang w:val="nl-NL"/>
        </w:rPr>
      </w:pPr>
    </w:p>
    <w:p w:rsidR="00AE3E37" w:rsidRPr="00EF5B6F" w:rsidRDefault="00AE3E37">
      <w:pPr>
        <w:pStyle w:val="BodyText"/>
        <w:spacing w:before="3"/>
        <w:rPr>
          <w:rFonts w:ascii="Arial"/>
          <w:sz w:val="21"/>
          <w:lang w:val="nl-NL"/>
        </w:rPr>
      </w:pPr>
    </w:p>
    <w:p w:rsidR="00AE3E37" w:rsidRPr="00EF5B6F" w:rsidRDefault="00AE3E37">
      <w:pPr>
        <w:rPr>
          <w:rFonts w:ascii="Arial"/>
          <w:sz w:val="21"/>
          <w:lang w:val="nl-NL"/>
        </w:rPr>
        <w:sectPr w:rsidR="00AE3E37" w:rsidRPr="00EF5B6F">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EF5B6F" w:rsidRPr="00EF5B6F" w:rsidRDefault="00EF5B6F" w:rsidP="00EF5B6F">
      <w:pPr>
        <w:shd w:val="clear" w:color="auto" w:fill="FFFFFF"/>
        <w:spacing w:before="240" w:after="100" w:afterAutospacing="1" w:line="276" w:lineRule="auto"/>
        <w:jc w:val="both"/>
        <w:textAlignment w:val="baseline"/>
        <w:outlineLvl w:val="0"/>
        <w:rPr>
          <w:rFonts w:eastAsia="Times New Roman" w:cs="Arial"/>
          <w:b/>
          <w:color w:val="000000" w:themeColor="text1"/>
          <w:kern w:val="36"/>
          <w:sz w:val="18"/>
          <w:szCs w:val="18"/>
          <w:lang w:eastAsia="nl-NL"/>
        </w:rPr>
      </w:pPr>
      <w:r w:rsidRPr="00EF5B6F">
        <w:rPr>
          <w:rFonts w:eastAsia="Times New Roman" w:cs="Arial"/>
          <w:b/>
          <w:color w:val="000000" w:themeColor="text1"/>
          <w:kern w:val="36"/>
          <w:sz w:val="18"/>
          <w:szCs w:val="18"/>
          <w:lang w:eastAsia="nl-NL"/>
        </w:rPr>
        <w:t xml:space="preserve">Background: </w:t>
      </w:r>
      <w:r w:rsidRPr="00EF5B6F">
        <w:rPr>
          <w:rFonts w:eastAsia="Times New Roman" w:cs="Arial"/>
          <w:color w:val="000000" w:themeColor="text1"/>
          <w:kern w:val="36"/>
          <w:sz w:val="18"/>
          <w:szCs w:val="18"/>
          <w:lang w:eastAsia="nl-NL"/>
        </w:rPr>
        <w:t xml:space="preserve">Adolescent idiopathic scoliosis (AIS) is a 3-dimensional deformity of the spine and occurs in </w:t>
      </w:r>
      <w:r w:rsidRPr="00EF5B6F">
        <w:rPr>
          <w:rFonts w:cs="Arial"/>
          <w:color w:val="000000" w:themeColor="text1"/>
          <w:sz w:val="18"/>
          <w:szCs w:val="18"/>
        </w:rPr>
        <w:t>0.47-5.2%</w:t>
      </w:r>
      <w:r w:rsidRPr="00EF5B6F">
        <w:rPr>
          <w:rFonts w:eastAsia="Times New Roman" w:cs="Arial"/>
          <w:color w:val="000000" w:themeColor="text1"/>
          <w:kern w:val="36"/>
          <w:sz w:val="18"/>
          <w:szCs w:val="18"/>
          <w:lang w:eastAsia="nl-NL"/>
        </w:rPr>
        <w:t xml:space="preserve"> of the general population. AIS can progress during growth and brace therapy is generally applied to prevent progression of the curve. Multiple concepts of braces have been developed, however it is currently unknown whether there is a difference in effectiveness. Insight in the current brace treatment may assist in improving the understanding of the present limitations. </w:t>
      </w:r>
    </w:p>
    <w:p w:rsidR="00EF5B6F" w:rsidRPr="00EF5B6F" w:rsidRDefault="00EF5B6F" w:rsidP="00EF5B6F">
      <w:pPr>
        <w:pStyle w:val="CommentText"/>
        <w:spacing w:before="240" w:line="276" w:lineRule="auto"/>
        <w:jc w:val="both"/>
        <w:rPr>
          <w:rFonts w:ascii="Tw Cen MT" w:hAnsi="Tw Cen MT" w:cs="Arial"/>
          <w:color w:val="000000" w:themeColor="text1"/>
          <w:sz w:val="18"/>
          <w:szCs w:val="18"/>
        </w:rPr>
      </w:pPr>
      <w:r w:rsidRPr="00EF5B6F">
        <w:rPr>
          <w:rFonts w:ascii="Tw Cen MT" w:eastAsia="Times New Roman" w:hAnsi="Tw Cen MT" w:cs="Arial"/>
          <w:b/>
          <w:color w:val="000000" w:themeColor="text1"/>
          <w:kern w:val="36"/>
          <w:sz w:val="18"/>
          <w:szCs w:val="18"/>
          <w:lang w:eastAsia="nl-NL"/>
        </w:rPr>
        <w:t>Aim:</w:t>
      </w:r>
      <w:r w:rsidRPr="00EF5B6F">
        <w:rPr>
          <w:rFonts w:ascii="Tw Cen MT" w:eastAsia="Times New Roman" w:hAnsi="Tw Cen MT" w:cs="Arial"/>
          <w:color w:val="000000" w:themeColor="text1"/>
          <w:kern w:val="36"/>
          <w:sz w:val="18"/>
          <w:szCs w:val="18"/>
          <w:lang w:eastAsia="nl-NL"/>
        </w:rPr>
        <w:t xml:space="preserve"> The aim of this systematic review and meta-analysis is to compare the effectiveness of the different brace concepts defined as</w:t>
      </w:r>
      <w:r w:rsidRPr="00EF5B6F">
        <w:rPr>
          <w:rFonts w:ascii="Tw Cen MT" w:hAnsi="Tw Cen MT" w:cs="Arial"/>
          <w:color w:val="000000" w:themeColor="text1"/>
          <w:sz w:val="18"/>
          <w:szCs w:val="18"/>
        </w:rPr>
        <w:t xml:space="preserve"> prevention of the need of surgery and/or reduction of the curve magnitude.</w:t>
      </w:r>
      <w:r w:rsidRPr="00EF5B6F">
        <w:rPr>
          <w:rFonts w:ascii="Tw Cen MT" w:eastAsia="Times New Roman" w:hAnsi="Tw Cen MT" w:cs="Arial"/>
          <w:color w:val="000000" w:themeColor="text1"/>
          <w:kern w:val="36"/>
          <w:sz w:val="18"/>
          <w:szCs w:val="18"/>
          <w:lang w:eastAsia="nl-NL"/>
        </w:rPr>
        <w:t xml:space="preserve"> </w:t>
      </w:r>
    </w:p>
    <w:p w:rsidR="00EF5B6F" w:rsidRPr="00EF5B6F" w:rsidRDefault="00EF5B6F" w:rsidP="00EF5B6F">
      <w:pPr>
        <w:shd w:val="clear" w:color="auto" w:fill="FFFFFF"/>
        <w:spacing w:before="240" w:after="100" w:afterAutospacing="1" w:line="276" w:lineRule="auto"/>
        <w:jc w:val="both"/>
        <w:textAlignment w:val="baseline"/>
        <w:outlineLvl w:val="0"/>
        <w:rPr>
          <w:rFonts w:eastAsia="Times New Roman" w:cs="Arial"/>
          <w:color w:val="000000" w:themeColor="text1"/>
          <w:kern w:val="36"/>
          <w:sz w:val="18"/>
          <w:szCs w:val="18"/>
          <w:lang w:eastAsia="nl-NL"/>
        </w:rPr>
      </w:pPr>
      <w:r w:rsidRPr="00EF5B6F">
        <w:rPr>
          <w:rFonts w:eastAsia="Times New Roman" w:cs="Arial"/>
          <w:b/>
          <w:color w:val="000000" w:themeColor="text1"/>
          <w:kern w:val="36"/>
          <w:sz w:val="18"/>
          <w:szCs w:val="18"/>
          <w:lang w:eastAsia="nl-NL"/>
        </w:rPr>
        <w:t xml:space="preserve">Methods: </w:t>
      </w:r>
      <w:r w:rsidRPr="00EF5B6F">
        <w:rPr>
          <w:rFonts w:eastAsia="Times New Roman" w:cs="Arial"/>
          <w:color w:val="000000" w:themeColor="text1"/>
          <w:kern w:val="36"/>
          <w:sz w:val="18"/>
          <w:szCs w:val="18"/>
          <w:lang w:eastAsia="nl-NL"/>
        </w:rPr>
        <w:t>This systematic review and meta-analysis was performed according to the PRISMA guidelines. All original studies on brace treatment within AIS were systematically searched for in PubMed and EMBASE up to December 2019. To include all types of studies critical appraisal was made through MINOR score. A distinction was made based on prescribed time of wearing and rigidity of the brace. Only papers that focused on a specific brace concept or type of brace were included in this study.</w:t>
      </w:r>
    </w:p>
    <w:p w:rsidR="00EF5B6F" w:rsidRPr="00EF5B6F" w:rsidRDefault="00EF5B6F" w:rsidP="00EF5B6F">
      <w:pPr>
        <w:pStyle w:val="NoSpacing"/>
        <w:spacing w:line="276" w:lineRule="auto"/>
        <w:rPr>
          <w:rFonts w:ascii="Tw Cen MT" w:hAnsi="Tw Cen MT" w:cs="Arial"/>
          <w:sz w:val="18"/>
          <w:szCs w:val="18"/>
          <w:lang w:val="en-US"/>
        </w:rPr>
      </w:pPr>
      <w:r w:rsidRPr="00EF5B6F">
        <w:rPr>
          <w:rFonts w:ascii="Tw Cen MT" w:eastAsia="Times New Roman" w:hAnsi="Tw Cen MT" w:cs="Arial"/>
          <w:b/>
          <w:color w:val="000000" w:themeColor="text1"/>
          <w:kern w:val="36"/>
          <w:sz w:val="18"/>
          <w:szCs w:val="18"/>
          <w:lang w:val="en-US" w:eastAsia="nl-NL"/>
        </w:rPr>
        <w:t xml:space="preserve">Results: </w:t>
      </w:r>
      <w:r w:rsidRPr="00EF5B6F">
        <w:rPr>
          <w:rFonts w:ascii="Tw Cen MT" w:hAnsi="Tw Cen MT" w:cs="Arial"/>
          <w:kern w:val="36"/>
          <w:sz w:val="18"/>
          <w:szCs w:val="18"/>
          <w:lang w:val="en-US"/>
        </w:rPr>
        <w:t xml:space="preserve">31 out of 2609 articles were included. 12 papers had high risk of bias and 6 did not report success as </w:t>
      </w:r>
      <w:r w:rsidRPr="00EF5B6F">
        <w:rPr>
          <w:rFonts w:ascii="Tw Cen MT" w:hAnsi="Tw Cen MT" w:cs="Arial"/>
          <w:sz w:val="18"/>
          <w:szCs w:val="18"/>
          <w:lang w:val="en-US"/>
        </w:rPr>
        <w:t>≤5° curve progression.</w:t>
      </w:r>
      <w:r w:rsidRPr="00EF5B6F">
        <w:rPr>
          <w:rFonts w:ascii="Tw Cen MT" w:hAnsi="Tw Cen MT" w:cs="Arial"/>
          <w:kern w:val="36"/>
          <w:sz w:val="18"/>
          <w:szCs w:val="18"/>
          <w:lang w:val="en-US"/>
        </w:rPr>
        <w:t xml:space="preserve"> </w:t>
      </w:r>
      <w:r w:rsidRPr="00EF5B6F">
        <w:rPr>
          <w:rFonts w:ascii="Tw Cen MT" w:hAnsi="Tw Cen MT" w:cs="Arial"/>
          <w:sz w:val="18"/>
          <w:szCs w:val="18"/>
          <w:lang w:val="en-US"/>
        </w:rPr>
        <w:t>Rigid full-time brace had on average a success rate of 73.2%, night-time of 78.7%, soft braces of 62.4%, observation only of 50%. There was insufficient evidence on part-time, rigid braces for the meta-analysis.</w:t>
      </w:r>
    </w:p>
    <w:p w:rsidR="00EF5B6F" w:rsidRPr="00EF5B6F" w:rsidRDefault="00EF5B6F" w:rsidP="00EF5B6F">
      <w:pPr>
        <w:shd w:val="clear" w:color="auto" w:fill="FFFFFF"/>
        <w:spacing w:before="240" w:after="100" w:afterAutospacing="1" w:line="276" w:lineRule="auto"/>
        <w:jc w:val="both"/>
        <w:textAlignment w:val="baseline"/>
        <w:outlineLvl w:val="0"/>
        <w:rPr>
          <w:rFonts w:eastAsia="Times New Roman" w:cs="Arial"/>
          <w:b/>
          <w:color w:val="000000" w:themeColor="text1"/>
          <w:kern w:val="36"/>
          <w:sz w:val="18"/>
          <w:szCs w:val="18"/>
          <w:lang w:eastAsia="nl-NL"/>
        </w:rPr>
      </w:pPr>
      <w:r w:rsidRPr="00EF5B6F">
        <w:rPr>
          <w:rFonts w:eastAsia="Times New Roman" w:cs="Arial"/>
          <w:b/>
          <w:color w:val="000000" w:themeColor="text1"/>
          <w:kern w:val="36"/>
          <w:sz w:val="18"/>
          <w:szCs w:val="18"/>
          <w:lang w:eastAsia="nl-NL"/>
        </w:rPr>
        <w:t>Conclusion:</w:t>
      </w:r>
      <w:r w:rsidRPr="00EF5B6F">
        <w:rPr>
          <w:rFonts w:eastAsia="Times New Roman" w:cs="Arial"/>
          <w:color w:val="000000" w:themeColor="text1"/>
          <w:kern w:val="36"/>
          <w:sz w:val="18"/>
          <w:szCs w:val="18"/>
          <w:lang w:eastAsia="nl-NL"/>
        </w:rPr>
        <w:t xml:space="preserve"> In the included studies no significant difference in night-time versus full-time concepts could be identified and there were no important differences between part-time and full-time wear. Soft braces seem to have a worse outcome if compared to the rigid braces. </w:t>
      </w:r>
    </w:p>
    <w:p w:rsidR="00AE3E37" w:rsidRDefault="00A9710C">
      <w:pPr>
        <w:pStyle w:val="Heading3"/>
        <w:spacing w:before="74"/>
      </w:pPr>
      <w:r>
        <w:rPr>
          <w:b w:val="0"/>
        </w:rPr>
        <w:br w:type="column"/>
      </w:r>
      <w:r>
        <w:rPr>
          <w:color w:val="BF5A14"/>
        </w:rPr>
        <w:t>Image</w:t>
      </w:r>
    </w:p>
    <w:p w:rsidR="00AE3E37" w:rsidRDefault="00EF5B6F">
      <w:pPr>
        <w:pStyle w:val="BodyText"/>
        <w:spacing w:before="2"/>
        <w:rPr>
          <w:rFonts w:ascii="Arial"/>
          <w:b/>
          <w:sz w:val="16"/>
        </w:rPr>
      </w:pPr>
      <w:r>
        <w:rPr>
          <w:rFonts w:ascii="Palatino Linotype" w:hAnsi="Palatino Linotype" w:cs="Times New Roman"/>
          <w:noProof/>
          <w:color w:val="FF0000"/>
          <w:sz w:val="20"/>
          <w:szCs w:val="20"/>
          <w:lang w:val="nl-NL"/>
        </w:rPr>
        <w:drawing>
          <wp:inline distT="0" distB="0" distL="0" distR="0" wp14:anchorId="1FDF2A00" wp14:editId="4F5B135F">
            <wp:extent cx="3417882" cy="26483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4435" cy="2653388"/>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2977EC" w:rsidRPr="00373553" w:rsidRDefault="002977EC" w:rsidP="002977EC">
      <w:pPr>
        <w:rPr>
          <w:rFonts w:asciiTheme="minorHAnsi" w:hAnsiTheme="minorHAnsi"/>
          <w:sz w:val="18"/>
          <w:szCs w:val="24"/>
        </w:rPr>
      </w:pPr>
      <w:r>
        <w:rPr>
          <w:rFonts w:asciiTheme="minorHAnsi" w:hAnsiTheme="minorHAnsi"/>
          <w:sz w:val="18"/>
          <w:szCs w:val="24"/>
        </w:rPr>
        <w:t xml:space="preserve">1. </w:t>
      </w:r>
      <w:r w:rsidRPr="00373553">
        <w:rPr>
          <w:rFonts w:asciiTheme="minorHAnsi" w:hAnsiTheme="minorHAnsi"/>
          <w:sz w:val="18"/>
          <w:szCs w:val="24"/>
        </w:rPr>
        <w:t xml:space="preserve">J. </w:t>
      </w:r>
      <w:proofErr w:type="spellStart"/>
      <w:r w:rsidRPr="00373553">
        <w:rPr>
          <w:rFonts w:asciiTheme="minorHAnsi" w:hAnsiTheme="minorHAnsi"/>
          <w:sz w:val="18"/>
          <w:szCs w:val="24"/>
        </w:rPr>
        <w:t>Guo</w:t>
      </w:r>
      <w:proofErr w:type="spellEnd"/>
      <w:r w:rsidRPr="00373553">
        <w:rPr>
          <w:rFonts w:asciiTheme="minorHAnsi" w:hAnsiTheme="minorHAnsi"/>
          <w:sz w:val="18"/>
          <w:szCs w:val="24"/>
        </w:rPr>
        <w:t xml:space="preserve"> </w:t>
      </w:r>
      <w:r w:rsidRPr="00373553">
        <w:rPr>
          <w:rFonts w:asciiTheme="minorHAnsi" w:hAnsiTheme="minorHAnsi"/>
          <w:i/>
          <w:iCs/>
          <w:sz w:val="18"/>
          <w:szCs w:val="24"/>
        </w:rPr>
        <w:t>et al.</w:t>
      </w:r>
      <w:r w:rsidRPr="00373553">
        <w:rPr>
          <w:rFonts w:asciiTheme="minorHAnsi" w:hAnsiTheme="minorHAnsi"/>
          <w:sz w:val="18"/>
          <w:szCs w:val="24"/>
        </w:rPr>
        <w:t xml:space="preserve">, “A prospective randomized controlled study on the treatment outcome of </w:t>
      </w:r>
      <w:proofErr w:type="spellStart"/>
      <w:r w:rsidRPr="00373553">
        <w:rPr>
          <w:rFonts w:asciiTheme="minorHAnsi" w:hAnsiTheme="minorHAnsi"/>
          <w:sz w:val="18"/>
          <w:szCs w:val="24"/>
        </w:rPr>
        <w:t>SpineCor</w:t>
      </w:r>
      <w:proofErr w:type="spellEnd"/>
      <w:r w:rsidRPr="00373553">
        <w:rPr>
          <w:rFonts w:asciiTheme="minorHAnsi" w:hAnsiTheme="minorHAnsi"/>
          <w:sz w:val="18"/>
          <w:szCs w:val="24"/>
        </w:rPr>
        <w:t xml:space="preserve"> brace versus rigid brace for adolescent idiopathic scoliosis with follow-up according to the SRS standardized criteria.,” </w:t>
      </w:r>
      <w:r w:rsidRPr="00373553">
        <w:rPr>
          <w:rFonts w:asciiTheme="minorHAnsi" w:hAnsiTheme="minorHAnsi"/>
          <w:i/>
          <w:iCs/>
          <w:sz w:val="18"/>
          <w:szCs w:val="24"/>
        </w:rPr>
        <w:t>Eur. Spine J.</w:t>
      </w:r>
      <w:r w:rsidRPr="00373553">
        <w:rPr>
          <w:rFonts w:asciiTheme="minorHAnsi" w:hAnsiTheme="minorHAnsi"/>
          <w:sz w:val="18"/>
          <w:szCs w:val="24"/>
        </w:rPr>
        <w:t>, vol. 23, no.</w:t>
      </w:r>
      <w:r>
        <w:rPr>
          <w:rFonts w:asciiTheme="minorHAnsi" w:hAnsiTheme="minorHAnsi"/>
          <w:sz w:val="18"/>
          <w:szCs w:val="24"/>
        </w:rPr>
        <w:t xml:space="preserve"> 12, pp. 2650–2657, Dec. 2014,</w:t>
      </w:r>
    </w:p>
    <w:p w:rsidR="002977EC" w:rsidRPr="00373553" w:rsidRDefault="002977EC" w:rsidP="002977EC">
      <w:pPr>
        <w:rPr>
          <w:rFonts w:asciiTheme="minorHAnsi" w:hAnsiTheme="minorHAnsi"/>
          <w:sz w:val="18"/>
          <w:szCs w:val="24"/>
        </w:rPr>
      </w:pPr>
      <w:r>
        <w:rPr>
          <w:rFonts w:asciiTheme="minorHAnsi" w:hAnsiTheme="minorHAnsi"/>
          <w:sz w:val="18"/>
          <w:szCs w:val="24"/>
        </w:rPr>
        <w:t xml:space="preserve">2. </w:t>
      </w:r>
      <w:r w:rsidRPr="00373553">
        <w:rPr>
          <w:rFonts w:asciiTheme="minorHAnsi" w:hAnsiTheme="minorHAnsi"/>
          <w:sz w:val="18"/>
          <w:szCs w:val="24"/>
        </w:rPr>
        <w:t xml:space="preserve">G. </w:t>
      </w:r>
      <w:proofErr w:type="spellStart"/>
      <w:r w:rsidRPr="00373553">
        <w:rPr>
          <w:rFonts w:asciiTheme="minorHAnsi" w:hAnsiTheme="minorHAnsi"/>
          <w:sz w:val="18"/>
          <w:szCs w:val="24"/>
        </w:rPr>
        <w:t>Lateur</w:t>
      </w:r>
      <w:proofErr w:type="spellEnd"/>
      <w:r w:rsidRPr="00373553">
        <w:rPr>
          <w:rFonts w:asciiTheme="minorHAnsi" w:hAnsiTheme="minorHAnsi"/>
          <w:sz w:val="18"/>
          <w:szCs w:val="24"/>
        </w:rPr>
        <w:t xml:space="preserve">, P. </w:t>
      </w:r>
      <w:proofErr w:type="spellStart"/>
      <w:r w:rsidRPr="00373553">
        <w:rPr>
          <w:rFonts w:asciiTheme="minorHAnsi" w:hAnsiTheme="minorHAnsi"/>
          <w:sz w:val="18"/>
          <w:szCs w:val="24"/>
        </w:rPr>
        <w:t>Grobost</w:t>
      </w:r>
      <w:proofErr w:type="spellEnd"/>
      <w:r w:rsidRPr="00373553">
        <w:rPr>
          <w:rFonts w:asciiTheme="minorHAnsi" w:hAnsiTheme="minorHAnsi"/>
          <w:sz w:val="18"/>
          <w:szCs w:val="24"/>
        </w:rPr>
        <w:t xml:space="preserve">, J. </w:t>
      </w:r>
      <w:proofErr w:type="spellStart"/>
      <w:r w:rsidRPr="00373553">
        <w:rPr>
          <w:rFonts w:asciiTheme="minorHAnsi" w:hAnsiTheme="minorHAnsi"/>
          <w:sz w:val="18"/>
          <w:szCs w:val="24"/>
        </w:rPr>
        <w:t>Gerbelot</w:t>
      </w:r>
      <w:proofErr w:type="spellEnd"/>
      <w:r w:rsidRPr="00373553">
        <w:rPr>
          <w:rFonts w:asciiTheme="minorHAnsi" w:hAnsiTheme="minorHAnsi"/>
          <w:sz w:val="18"/>
          <w:szCs w:val="24"/>
        </w:rPr>
        <w:t xml:space="preserve">, A. </w:t>
      </w:r>
      <w:proofErr w:type="spellStart"/>
      <w:r w:rsidRPr="00373553">
        <w:rPr>
          <w:rFonts w:asciiTheme="minorHAnsi" w:hAnsiTheme="minorHAnsi"/>
          <w:sz w:val="18"/>
          <w:szCs w:val="24"/>
        </w:rPr>
        <w:t>Eid</w:t>
      </w:r>
      <w:proofErr w:type="spellEnd"/>
      <w:r w:rsidRPr="00373553">
        <w:rPr>
          <w:rFonts w:asciiTheme="minorHAnsi" w:hAnsiTheme="minorHAnsi"/>
          <w:sz w:val="18"/>
          <w:szCs w:val="24"/>
        </w:rPr>
        <w:t xml:space="preserve">, J. </w:t>
      </w:r>
      <w:proofErr w:type="spellStart"/>
      <w:r w:rsidRPr="00373553">
        <w:rPr>
          <w:rFonts w:asciiTheme="minorHAnsi" w:hAnsiTheme="minorHAnsi"/>
          <w:sz w:val="18"/>
          <w:szCs w:val="24"/>
        </w:rPr>
        <w:t>Griffet</w:t>
      </w:r>
      <w:proofErr w:type="spellEnd"/>
      <w:r w:rsidRPr="00373553">
        <w:rPr>
          <w:rFonts w:asciiTheme="minorHAnsi" w:hAnsiTheme="minorHAnsi"/>
          <w:sz w:val="18"/>
          <w:szCs w:val="24"/>
        </w:rPr>
        <w:t xml:space="preserve">, and A. Courvoisier, “Efficacy of nighttime brace in preventing progression of idiopathic scoliosis of less than 25°.,” </w:t>
      </w:r>
      <w:proofErr w:type="spellStart"/>
      <w:r w:rsidRPr="00373553">
        <w:rPr>
          <w:rFonts w:asciiTheme="minorHAnsi" w:hAnsiTheme="minorHAnsi"/>
          <w:i/>
          <w:iCs/>
          <w:sz w:val="18"/>
          <w:szCs w:val="24"/>
        </w:rPr>
        <w:t>Orthop</w:t>
      </w:r>
      <w:proofErr w:type="spellEnd"/>
      <w:r w:rsidRPr="00373553">
        <w:rPr>
          <w:rFonts w:asciiTheme="minorHAnsi" w:hAnsiTheme="minorHAnsi"/>
          <w:i/>
          <w:iCs/>
          <w:sz w:val="18"/>
          <w:szCs w:val="24"/>
        </w:rPr>
        <w:t xml:space="preserve">. </w:t>
      </w:r>
      <w:proofErr w:type="spellStart"/>
      <w:r w:rsidRPr="00373553">
        <w:rPr>
          <w:rFonts w:asciiTheme="minorHAnsi" w:hAnsiTheme="minorHAnsi"/>
          <w:i/>
          <w:iCs/>
          <w:sz w:val="18"/>
          <w:szCs w:val="24"/>
        </w:rPr>
        <w:t>Traumatol</w:t>
      </w:r>
      <w:proofErr w:type="spellEnd"/>
      <w:r w:rsidRPr="00373553">
        <w:rPr>
          <w:rFonts w:asciiTheme="minorHAnsi" w:hAnsiTheme="minorHAnsi"/>
          <w:i/>
          <w:iCs/>
          <w:sz w:val="18"/>
          <w:szCs w:val="24"/>
        </w:rPr>
        <w:t>. Surg. Res.</w:t>
      </w:r>
      <w:r w:rsidRPr="00373553">
        <w:rPr>
          <w:rFonts w:asciiTheme="minorHAnsi" w:hAnsiTheme="minorHAnsi"/>
          <w:sz w:val="18"/>
          <w:szCs w:val="24"/>
        </w:rPr>
        <w:t xml:space="preserve">, vol. 103, no. </w:t>
      </w:r>
      <w:r>
        <w:rPr>
          <w:rFonts w:asciiTheme="minorHAnsi" w:hAnsiTheme="minorHAnsi"/>
          <w:sz w:val="18"/>
          <w:szCs w:val="24"/>
        </w:rPr>
        <w:t>2, pp. 275–278, 2017,</w:t>
      </w:r>
    </w:p>
    <w:p w:rsidR="002977EC" w:rsidRPr="00373553" w:rsidRDefault="002977EC" w:rsidP="002977EC">
      <w:pPr>
        <w:rPr>
          <w:rFonts w:asciiTheme="minorHAnsi" w:hAnsiTheme="minorHAnsi"/>
          <w:sz w:val="18"/>
          <w:szCs w:val="24"/>
        </w:rPr>
      </w:pPr>
      <w:r>
        <w:rPr>
          <w:rFonts w:asciiTheme="minorHAnsi" w:hAnsiTheme="minorHAnsi"/>
          <w:sz w:val="18"/>
          <w:szCs w:val="24"/>
        </w:rPr>
        <w:t xml:space="preserve">3. </w:t>
      </w:r>
      <w:r w:rsidRPr="00373553">
        <w:rPr>
          <w:rFonts w:asciiTheme="minorHAnsi" w:hAnsiTheme="minorHAnsi"/>
          <w:sz w:val="18"/>
          <w:szCs w:val="24"/>
        </w:rPr>
        <w:t xml:space="preserve">A. G. </w:t>
      </w:r>
      <w:proofErr w:type="spellStart"/>
      <w:r w:rsidRPr="00373553">
        <w:rPr>
          <w:rFonts w:asciiTheme="minorHAnsi" w:hAnsiTheme="minorHAnsi"/>
          <w:sz w:val="18"/>
          <w:szCs w:val="24"/>
        </w:rPr>
        <w:t>Aulisa</w:t>
      </w:r>
      <w:proofErr w:type="spellEnd"/>
      <w:r w:rsidRPr="00373553">
        <w:rPr>
          <w:rFonts w:asciiTheme="minorHAnsi" w:hAnsiTheme="minorHAnsi"/>
          <w:sz w:val="18"/>
          <w:szCs w:val="24"/>
        </w:rPr>
        <w:t xml:space="preserve">, M. Giordano, R. M. </w:t>
      </w:r>
      <w:proofErr w:type="spellStart"/>
      <w:r w:rsidRPr="00373553">
        <w:rPr>
          <w:rFonts w:asciiTheme="minorHAnsi" w:hAnsiTheme="minorHAnsi"/>
          <w:sz w:val="18"/>
          <w:szCs w:val="24"/>
        </w:rPr>
        <w:t>Toniolo</w:t>
      </w:r>
      <w:proofErr w:type="spellEnd"/>
      <w:r w:rsidRPr="00373553">
        <w:rPr>
          <w:rFonts w:asciiTheme="minorHAnsi" w:hAnsiTheme="minorHAnsi"/>
          <w:sz w:val="18"/>
          <w:szCs w:val="24"/>
        </w:rPr>
        <w:t xml:space="preserve">, and L. </w:t>
      </w:r>
      <w:proofErr w:type="spellStart"/>
      <w:r w:rsidRPr="00373553">
        <w:rPr>
          <w:rFonts w:asciiTheme="minorHAnsi" w:hAnsiTheme="minorHAnsi"/>
          <w:sz w:val="18"/>
          <w:szCs w:val="24"/>
        </w:rPr>
        <w:t>Aulisa</w:t>
      </w:r>
      <w:proofErr w:type="spellEnd"/>
      <w:r w:rsidRPr="00373553">
        <w:rPr>
          <w:rFonts w:asciiTheme="minorHAnsi" w:hAnsiTheme="minorHAnsi"/>
          <w:sz w:val="18"/>
          <w:szCs w:val="24"/>
        </w:rPr>
        <w:t xml:space="preserve">, “Long term results after brace treatment with PASB in adolescent </w:t>
      </w:r>
      <w:proofErr w:type="spellStart"/>
      <w:r w:rsidRPr="00373553">
        <w:rPr>
          <w:rFonts w:asciiTheme="minorHAnsi" w:hAnsiTheme="minorHAnsi"/>
          <w:sz w:val="18"/>
          <w:szCs w:val="24"/>
        </w:rPr>
        <w:t>idipathic</w:t>
      </w:r>
      <w:proofErr w:type="spellEnd"/>
      <w:r w:rsidRPr="00373553">
        <w:rPr>
          <w:rFonts w:asciiTheme="minorHAnsi" w:hAnsiTheme="minorHAnsi"/>
          <w:sz w:val="18"/>
          <w:szCs w:val="24"/>
        </w:rPr>
        <w:t xml:space="preserve"> scoliosis,” </w:t>
      </w:r>
      <w:r w:rsidRPr="00373553">
        <w:rPr>
          <w:rFonts w:asciiTheme="minorHAnsi" w:hAnsiTheme="minorHAnsi"/>
          <w:i/>
          <w:iCs/>
          <w:sz w:val="18"/>
          <w:szCs w:val="24"/>
        </w:rPr>
        <w:t xml:space="preserve">Minerva </w:t>
      </w:r>
      <w:proofErr w:type="spellStart"/>
      <w:r w:rsidRPr="00373553">
        <w:rPr>
          <w:rFonts w:asciiTheme="minorHAnsi" w:hAnsiTheme="minorHAnsi"/>
          <w:i/>
          <w:iCs/>
          <w:sz w:val="18"/>
          <w:szCs w:val="24"/>
        </w:rPr>
        <w:t>Anestesiol</w:t>
      </w:r>
      <w:proofErr w:type="spellEnd"/>
      <w:r w:rsidRPr="00373553">
        <w:rPr>
          <w:rFonts w:asciiTheme="minorHAnsi" w:hAnsiTheme="minorHAnsi"/>
          <w:i/>
          <w:iCs/>
          <w:sz w:val="18"/>
          <w:szCs w:val="24"/>
        </w:rPr>
        <w:t>.</w:t>
      </w:r>
      <w:r w:rsidRPr="00373553">
        <w:rPr>
          <w:rFonts w:asciiTheme="minorHAnsi" w:hAnsiTheme="minorHAnsi"/>
          <w:sz w:val="18"/>
          <w:szCs w:val="24"/>
        </w:rPr>
        <w:t xml:space="preserve">, 2020, </w:t>
      </w:r>
      <w:proofErr w:type="spellStart"/>
      <w:r w:rsidRPr="00373553">
        <w:rPr>
          <w:rFonts w:asciiTheme="minorHAnsi" w:hAnsiTheme="minorHAnsi"/>
          <w:sz w:val="18"/>
          <w:szCs w:val="24"/>
        </w:rPr>
        <w:t>doi</w:t>
      </w:r>
      <w:proofErr w:type="spellEnd"/>
      <w:r w:rsidRPr="00373553">
        <w:rPr>
          <w:rFonts w:asciiTheme="minorHAnsi" w:hAnsiTheme="minorHAnsi"/>
          <w:sz w:val="18"/>
          <w:szCs w:val="24"/>
        </w:rPr>
        <w:t>: 10.23736/S1973-9087.20.06129-8.</w:t>
      </w:r>
    </w:p>
    <w:p w:rsidR="002977EC" w:rsidRPr="00373553" w:rsidRDefault="002977EC" w:rsidP="002977EC">
      <w:pPr>
        <w:autoSpaceDE w:val="0"/>
        <w:autoSpaceDN w:val="0"/>
        <w:adjustRightInd w:val="0"/>
        <w:rPr>
          <w:rFonts w:asciiTheme="minorHAnsi" w:hAnsiTheme="minorHAnsi"/>
          <w:sz w:val="18"/>
          <w:szCs w:val="24"/>
        </w:rPr>
      </w:pPr>
      <w:r>
        <w:rPr>
          <w:rFonts w:asciiTheme="minorHAnsi" w:hAnsiTheme="minorHAnsi"/>
          <w:sz w:val="18"/>
          <w:szCs w:val="24"/>
        </w:rPr>
        <w:t xml:space="preserve">4. </w:t>
      </w:r>
      <w:r w:rsidRPr="00373553">
        <w:rPr>
          <w:rFonts w:asciiTheme="minorHAnsi" w:hAnsiTheme="minorHAnsi"/>
          <w:sz w:val="18"/>
          <w:szCs w:val="24"/>
        </w:rPr>
        <w:t xml:space="preserve">A. G. </w:t>
      </w:r>
      <w:proofErr w:type="spellStart"/>
      <w:r w:rsidRPr="00373553">
        <w:rPr>
          <w:rFonts w:asciiTheme="minorHAnsi" w:hAnsiTheme="minorHAnsi"/>
          <w:sz w:val="18"/>
          <w:szCs w:val="24"/>
        </w:rPr>
        <w:t>Aulisa</w:t>
      </w:r>
      <w:proofErr w:type="spellEnd"/>
      <w:r w:rsidRPr="00373553">
        <w:rPr>
          <w:rFonts w:asciiTheme="minorHAnsi" w:hAnsiTheme="minorHAnsi"/>
          <w:sz w:val="18"/>
          <w:szCs w:val="24"/>
        </w:rPr>
        <w:t xml:space="preserve">, V </w:t>
      </w:r>
      <w:proofErr w:type="spellStart"/>
      <w:r w:rsidRPr="00373553">
        <w:rPr>
          <w:rFonts w:asciiTheme="minorHAnsi" w:hAnsiTheme="minorHAnsi"/>
          <w:sz w:val="18"/>
          <w:szCs w:val="24"/>
        </w:rPr>
        <w:t>Guzzanti</w:t>
      </w:r>
      <w:proofErr w:type="spellEnd"/>
      <w:r w:rsidRPr="00373553">
        <w:rPr>
          <w:rFonts w:asciiTheme="minorHAnsi" w:hAnsiTheme="minorHAnsi"/>
          <w:sz w:val="18"/>
          <w:szCs w:val="24"/>
        </w:rPr>
        <w:t xml:space="preserve">, F. </w:t>
      </w:r>
      <w:proofErr w:type="spellStart"/>
      <w:r w:rsidRPr="00373553">
        <w:rPr>
          <w:rFonts w:asciiTheme="minorHAnsi" w:hAnsiTheme="minorHAnsi"/>
          <w:sz w:val="18"/>
          <w:szCs w:val="24"/>
        </w:rPr>
        <w:t>Falciglia</w:t>
      </w:r>
      <w:proofErr w:type="spellEnd"/>
      <w:r w:rsidRPr="00373553">
        <w:rPr>
          <w:rFonts w:asciiTheme="minorHAnsi" w:hAnsiTheme="minorHAnsi"/>
          <w:sz w:val="18"/>
          <w:szCs w:val="24"/>
        </w:rPr>
        <w:t xml:space="preserve">, M. Galli, P. </w:t>
      </w:r>
      <w:proofErr w:type="spellStart"/>
      <w:r w:rsidRPr="00373553">
        <w:rPr>
          <w:rFonts w:asciiTheme="minorHAnsi" w:hAnsiTheme="minorHAnsi"/>
          <w:sz w:val="18"/>
          <w:szCs w:val="24"/>
        </w:rPr>
        <w:t>Pizzeti</w:t>
      </w:r>
      <w:proofErr w:type="spellEnd"/>
      <w:r w:rsidRPr="00373553">
        <w:rPr>
          <w:rFonts w:asciiTheme="minorHAnsi" w:hAnsiTheme="minorHAnsi"/>
          <w:sz w:val="18"/>
          <w:szCs w:val="24"/>
        </w:rPr>
        <w:t xml:space="preserve">, and L. </w:t>
      </w:r>
      <w:proofErr w:type="spellStart"/>
      <w:r w:rsidRPr="00373553">
        <w:rPr>
          <w:rFonts w:asciiTheme="minorHAnsi" w:hAnsiTheme="minorHAnsi"/>
          <w:sz w:val="18"/>
          <w:szCs w:val="24"/>
        </w:rPr>
        <w:t>Aulisa</w:t>
      </w:r>
      <w:proofErr w:type="spellEnd"/>
      <w:r w:rsidRPr="00373553">
        <w:rPr>
          <w:rFonts w:asciiTheme="minorHAnsi" w:hAnsiTheme="minorHAnsi"/>
          <w:sz w:val="18"/>
          <w:szCs w:val="24"/>
        </w:rPr>
        <w:t xml:space="preserve">, “Curve progression after long-term brace treatment in adolescent idiopathic scoliosis: Comparative results between over and under 30 Cobb degrees - SOSORT 2017 award winner,” </w:t>
      </w:r>
      <w:r w:rsidRPr="00373553">
        <w:rPr>
          <w:rFonts w:asciiTheme="minorHAnsi" w:hAnsiTheme="minorHAnsi"/>
          <w:i/>
          <w:iCs/>
          <w:sz w:val="18"/>
          <w:szCs w:val="24"/>
        </w:rPr>
        <w:t xml:space="preserve">Scoliosis Spin. </w:t>
      </w:r>
      <w:proofErr w:type="spellStart"/>
      <w:r w:rsidRPr="00373553">
        <w:rPr>
          <w:rFonts w:asciiTheme="minorHAnsi" w:hAnsiTheme="minorHAnsi"/>
          <w:i/>
          <w:iCs/>
          <w:sz w:val="18"/>
          <w:szCs w:val="24"/>
        </w:rPr>
        <w:t>Disord</w:t>
      </w:r>
      <w:proofErr w:type="spellEnd"/>
      <w:r w:rsidRPr="00373553">
        <w:rPr>
          <w:rFonts w:asciiTheme="minorHAnsi" w:hAnsiTheme="minorHAnsi"/>
          <w:i/>
          <w:iCs/>
          <w:sz w:val="18"/>
          <w:szCs w:val="24"/>
        </w:rPr>
        <w:t>.</w:t>
      </w:r>
      <w:r w:rsidRPr="00373553">
        <w:rPr>
          <w:rFonts w:asciiTheme="minorHAnsi" w:hAnsiTheme="minorHAnsi"/>
          <w:sz w:val="18"/>
          <w:szCs w:val="24"/>
        </w:rPr>
        <w:t xml:space="preserve">, </w:t>
      </w:r>
      <w:r>
        <w:rPr>
          <w:rFonts w:asciiTheme="minorHAnsi" w:hAnsiTheme="minorHAnsi"/>
          <w:sz w:val="18"/>
          <w:szCs w:val="24"/>
        </w:rPr>
        <w:t>vol. 12, no. 1, 2017,</w:t>
      </w:r>
    </w:p>
    <w:p w:rsidR="002977EC" w:rsidRPr="00373553" w:rsidRDefault="002977EC" w:rsidP="002977EC">
      <w:pPr>
        <w:autoSpaceDE w:val="0"/>
        <w:autoSpaceDN w:val="0"/>
        <w:adjustRightInd w:val="0"/>
        <w:rPr>
          <w:rFonts w:asciiTheme="minorHAnsi" w:hAnsiTheme="minorHAnsi"/>
          <w:sz w:val="18"/>
          <w:szCs w:val="24"/>
        </w:rPr>
      </w:pPr>
      <w:r>
        <w:rPr>
          <w:rFonts w:asciiTheme="minorHAnsi" w:hAnsiTheme="minorHAnsi"/>
          <w:sz w:val="18"/>
          <w:szCs w:val="24"/>
        </w:rPr>
        <w:t xml:space="preserve">5. </w:t>
      </w:r>
      <w:r w:rsidRPr="00373553">
        <w:rPr>
          <w:rFonts w:asciiTheme="minorHAnsi" w:hAnsiTheme="minorHAnsi"/>
          <w:sz w:val="18"/>
          <w:szCs w:val="24"/>
        </w:rPr>
        <w:t xml:space="preserve">A. Simony, I. Beuschau, L. </w:t>
      </w:r>
      <w:proofErr w:type="spellStart"/>
      <w:r w:rsidRPr="00373553">
        <w:rPr>
          <w:rFonts w:asciiTheme="minorHAnsi" w:hAnsiTheme="minorHAnsi"/>
          <w:sz w:val="18"/>
          <w:szCs w:val="24"/>
        </w:rPr>
        <w:t>Quisth</w:t>
      </w:r>
      <w:proofErr w:type="spellEnd"/>
      <w:r w:rsidRPr="00373553">
        <w:rPr>
          <w:rFonts w:asciiTheme="minorHAnsi" w:hAnsiTheme="minorHAnsi"/>
          <w:sz w:val="18"/>
          <w:szCs w:val="24"/>
        </w:rPr>
        <w:t xml:space="preserve">, S. M. Jespersen, L. Y. Carreon, and M. O. Andersen, “Providence nighttime bracing is effective in treatment for adolescent idiopathic scoliosis even in curves larger than 35°.,” </w:t>
      </w:r>
      <w:r w:rsidRPr="00373553">
        <w:rPr>
          <w:rFonts w:asciiTheme="minorHAnsi" w:hAnsiTheme="minorHAnsi"/>
          <w:i/>
          <w:iCs/>
          <w:sz w:val="18"/>
          <w:szCs w:val="24"/>
        </w:rPr>
        <w:t>Eur. Spine J.</w:t>
      </w:r>
      <w:r w:rsidRPr="00373553">
        <w:rPr>
          <w:rFonts w:asciiTheme="minorHAnsi" w:hAnsiTheme="minorHAnsi"/>
          <w:sz w:val="18"/>
          <w:szCs w:val="24"/>
        </w:rPr>
        <w:t xml:space="preserve">, vol. 28, no. 9, pp. 2020–2024, Sep. 2019, </w:t>
      </w:r>
      <w:proofErr w:type="spellStart"/>
      <w:r w:rsidRPr="00373553">
        <w:rPr>
          <w:rFonts w:asciiTheme="minorHAnsi" w:hAnsiTheme="minorHAnsi"/>
          <w:sz w:val="18"/>
          <w:szCs w:val="24"/>
        </w:rPr>
        <w:t>doi</w:t>
      </w:r>
      <w:proofErr w:type="spellEnd"/>
      <w:r w:rsidRPr="00373553">
        <w:rPr>
          <w:rFonts w:asciiTheme="minorHAnsi" w:hAnsiTheme="minorHAnsi"/>
          <w:sz w:val="18"/>
          <w:szCs w:val="24"/>
        </w:rPr>
        <w:t>: 10.1007/s00586-019-06077-z</w:t>
      </w:r>
    </w:p>
    <w:p w:rsidR="00AE3E37" w:rsidRDefault="00AE3E37" w:rsidP="008756E6">
      <w:pPr>
        <w:tabs>
          <w:tab w:val="left" w:pos="384"/>
        </w:tabs>
        <w:ind w:right="117"/>
      </w:pPr>
    </w:p>
    <w:p w:rsidR="002977EC" w:rsidRDefault="002977EC" w:rsidP="008756E6">
      <w:pPr>
        <w:tabs>
          <w:tab w:val="left" w:pos="384"/>
        </w:tabs>
        <w:ind w:right="117"/>
      </w:pPr>
    </w:p>
    <w:p w:rsidR="002977EC" w:rsidRDefault="002977EC" w:rsidP="008756E6">
      <w:pPr>
        <w:tabs>
          <w:tab w:val="left" w:pos="384"/>
        </w:tabs>
        <w:ind w:right="117"/>
      </w:pPr>
    </w:p>
    <w:p w:rsidR="002977EC" w:rsidRDefault="002977EC" w:rsidP="008756E6">
      <w:pPr>
        <w:tabs>
          <w:tab w:val="left" w:pos="384"/>
        </w:tabs>
        <w:ind w:right="117"/>
      </w:pPr>
    </w:p>
    <w:p w:rsidR="002977EC" w:rsidRPr="008756E6" w:rsidRDefault="002977EC"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t xml:space="preserve">                 </w:t>
      </w:r>
    </w:p>
    <w:p w:rsidR="00AE3E37" w:rsidRDefault="00292ED9">
      <w:pPr>
        <w:pStyle w:val="BodyText"/>
        <w:spacing w:line="40" w:lineRule="exact"/>
        <w:ind w:left="2202"/>
        <w:rPr>
          <w:rFonts w:ascii="Calibri"/>
          <w:sz w:val="4"/>
        </w:rPr>
      </w:pPr>
      <w:r>
        <w:rPr>
          <w:rFonts w:ascii="Calibri"/>
          <w:noProof/>
          <w:sz w:val="4"/>
          <w:lang w:val="nl-NL" w:eastAsia="nl-NL"/>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907410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2977EC"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2977EC">
      <w:pPr>
        <w:spacing w:before="41" w:line="154" w:lineRule="exact"/>
        <w:ind w:left="213" w:right="231"/>
        <w:jc w:val="both"/>
        <w:rPr>
          <w:rFonts w:ascii="Arial"/>
          <w:sz w:val="14"/>
        </w:rPr>
      </w:pPr>
      <w:r w:rsidRPr="002977EC">
        <w:rPr>
          <w:rFonts w:ascii="Arial"/>
          <w:sz w:val="14"/>
          <w:lang w:val="it-IT"/>
        </w:rPr>
        <w:t xml:space="preserve">MD Lorenzo Costa graduated in 2018 at </w:t>
      </w:r>
      <w:r w:rsidRPr="002977EC">
        <w:rPr>
          <w:rFonts w:ascii="Arial"/>
          <w:sz w:val="14"/>
          <w:lang w:val="it-IT"/>
        </w:rPr>
        <w:t>“</w:t>
      </w:r>
      <w:r w:rsidRPr="002977EC">
        <w:rPr>
          <w:rFonts w:ascii="Arial"/>
          <w:sz w:val="14"/>
          <w:lang w:val="it-IT"/>
        </w:rPr>
        <w:t>Universit</w:t>
      </w:r>
      <w:r w:rsidRPr="002977EC">
        <w:rPr>
          <w:rFonts w:ascii="Arial"/>
          <w:sz w:val="14"/>
          <w:lang w:val="it-IT"/>
        </w:rPr>
        <w:t>à</w:t>
      </w:r>
      <w:r w:rsidRPr="002977EC">
        <w:rPr>
          <w:rFonts w:ascii="Arial"/>
          <w:sz w:val="14"/>
          <w:lang w:val="it-IT"/>
        </w:rPr>
        <w:t xml:space="preserve"> degli Studi di Genova</w:t>
      </w:r>
      <w:r w:rsidRPr="002977EC">
        <w:rPr>
          <w:rFonts w:ascii="Arial"/>
          <w:sz w:val="14"/>
          <w:lang w:val="it-IT"/>
        </w:rPr>
        <w:t>”</w:t>
      </w:r>
      <w:r w:rsidRPr="002977EC">
        <w:rPr>
          <w:rFonts w:ascii="Arial"/>
          <w:sz w:val="14"/>
          <w:lang w:val="it-IT"/>
        </w:rPr>
        <w:t xml:space="preserve"> in Genoa, Italy. </w:t>
      </w:r>
      <w:r w:rsidRPr="002977EC">
        <w:rPr>
          <w:rFonts w:ascii="Arial"/>
          <w:sz w:val="14"/>
        </w:rPr>
        <w:t>In 2019 started his PhD on Adolescent Idiopathic Scoliosis. The main aim of his project is to define a non-inv</w:t>
      </w:r>
      <w:r w:rsidR="00240A6E">
        <w:rPr>
          <w:rFonts w:ascii="Arial"/>
          <w:sz w:val="14"/>
        </w:rPr>
        <w:t>asive treatment and work on non-</w:t>
      </w:r>
      <w:r w:rsidRPr="002977EC">
        <w:rPr>
          <w:rFonts w:ascii="Arial"/>
          <w:sz w:val="14"/>
        </w:rPr>
        <w:t>ionizing radiation proced</w:t>
      </w:r>
      <w:r w:rsidR="00240A6E">
        <w:rPr>
          <w:rFonts w:ascii="Arial"/>
          <w:sz w:val="14"/>
        </w:rPr>
        <w:t>ures for diagnosis of Scoliosis</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0" w:history="1">
        <w:r w:rsidR="00240A6E" w:rsidRPr="00C97114">
          <w:rPr>
            <w:rStyle w:val="Hyperlink"/>
            <w:rFonts w:ascii="Arial"/>
            <w:sz w:val="14"/>
          </w:rPr>
          <w:t>l.costa-2@umcutrecht.nl</w:t>
        </w:r>
      </w:hyperlink>
      <w:r w:rsidR="00240A6E">
        <w:rPr>
          <w:rFonts w:ascii="Arial"/>
          <w:sz w:val="14"/>
        </w:rPr>
        <w:t xml:space="preserve"> </w:t>
      </w:r>
      <w:bookmarkStart w:id="0" w:name="_GoBack"/>
      <w:bookmarkEnd w:id="0"/>
    </w:p>
    <w:p w:rsidR="00AE3E37" w:rsidRDefault="00292ED9">
      <w:pPr>
        <w:pStyle w:val="BodyText"/>
        <w:spacing w:before="2"/>
        <w:rPr>
          <w:rFonts w:ascii="Arial"/>
          <w:sz w:val="19"/>
        </w:rPr>
      </w:pPr>
      <w:r>
        <w:rPr>
          <w:noProof/>
          <w:lang w:val="nl-NL" w:eastAsia="nl-NL"/>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535BA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36A" w:rsidRDefault="00F8136A">
      <w:r>
        <w:separator/>
      </w:r>
    </w:p>
  </w:endnote>
  <w:endnote w:type="continuationSeparator" w:id="0">
    <w:p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nl-NL" w:eastAsia="nl-NL"/>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nl-NL" w:eastAsia="nl-NL"/>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nl-NL" w:eastAsia="nl-NL"/>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36A" w:rsidRDefault="00F8136A">
      <w:r>
        <w:separator/>
      </w:r>
    </w:p>
  </w:footnote>
  <w:footnote w:type="continuationSeparator" w:id="0">
    <w:p w:rsidR="00F8136A" w:rsidRDefault="00F81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nl-NL" w:eastAsia="nl-NL"/>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40A6E"/>
    <w:rsid w:val="00292ED9"/>
    <w:rsid w:val="002977EC"/>
    <w:rsid w:val="00314AFB"/>
    <w:rsid w:val="003B76D9"/>
    <w:rsid w:val="00404E5B"/>
    <w:rsid w:val="00414F7B"/>
    <w:rsid w:val="004355DC"/>
    <w:rsid w:val="004749B4"/>
    <w:rsid w:val="00494130"/>
    <w:rsid w:val="004F3523"/>
    <w:rsid w:val="005973B9"/>
    <w:rsid w:val="005B3A56"/>
    <w:rsid w:val="006060CE"/>
    <w:rsid w:val="0063497F"/>
    <w:rsid w:val="0065368C"/>
    <w:rsid w:val="0078738A"/>
    <w:rsid w:val="00873DF0"/>
    <w:rsid w:val="008756E6"/>
    <w:rsid w:val="009B2D44"/>
    <w:rsid w:val="00A07E82"/>
    <w:rsid w:val="00A9710C"/>
    <w:rsid w:val="00AE3E37"/>
    <w:rsid w:val="00B21A57"/>
    <w:rsid w:val="00C33602"/>
    <w:rsid w:val="00CD6F55"/>
    <w:rsid w:val="00D62425"/>
    <w:rsid w:val="00DE3104"/>
    <w:rsid w:val="00EF5B6F"/>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CE37B65"/>
  <w15:docId w15:val="{7314CFA7-9D17-4191-AE45-4684F3924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Corpo">
    <w:name w:val="Corpo"/>
    <w:rsid w:val="00EF5B6F"/>
    <w:pPr>
      <w:widowControl/>
      <w:pBdr>
        <w:top w:val="nil"/>
        <w:left w:val="nil"/>
        <w:bottom w:val="nil"/>
        <w:right w:val="nil"/>
        <w:between w:val="nil"/>
        <w:bar w:val="nil"/>
      </w:pBdr>
      <w:spacing w:after="200" w:line="276" w:lineRule="auto"/>
    </w:pPr>
    <w:rPr>
      <w:rFonts w:ascii="Segoe UI" w:eastAsia="Segoe UI" w:hAnsi="Segoe UI" w:cs="Segoe UI"/>
      <w:color w:val="000000"/>
      <w:u w:color="000000"/>
      <w:bdr w:val="nil"/>
      <w:lang w:eastAsia="nl-NL"/>
    </w:rPr>
  </w:style>
  <w:style w:type="character" w:customStyle="1" w:styleId="Hyperlink0">
    <w:name w:val="Hyperlink.0"/>
    <w:basedOn w:val="DefaultParagraphFont"/>
    <w:rsid w:val="00EF5B6F"/>
    <w:rPr>
      <w:rFonts w:ascii="Times New Roman" w:eastAsia="Times New Roman" w:hAnsi="Times New Roman" w:cs="Times New Roman"/>
      <w:i/>
      <w:iCs/>
      <w:color w:val="0563C1"/>
      <w:sz w:val="24"/>
      <w:szCs w:val="24"/>
      <w:u w:val="single" w:color="0563C1"/>
    </w:rPr>
  </w:style>
  <w:style w:type="character" w:customStyle="1" w:styleId="Hyperlink1">
    <w:name w:val="Hyperlink.1"/>
    <w:basedOn w:val="DefaultParagraphFont"/>
    <w:rsid w:val="00EF5B6F"/>
    <w:rPr>
      <w:rFonts w:ascii="Times New Roman" w:eastAsia="Times New Roman" w:hAnsi="Times New Roman" w:cs="Times New Roman"/>
      <w:i/>
      <w:iCs/>
      <w:color w:val="0563C1"/>
      <w:sz w:val="24"/>
      <w:szCs w:val="24"/>
      <w:u w:val="single" w:color="0563C1"/>
      <w:lang w:val="nl-NL"/>
    </w:rPr>
  </w:style>
  <w:style w:type="paragraph" w:styleId="CommentText">
    <w:name w:val="annotation text"/>
    <w:basedOn w:val="Normal"/>
    <w:link w:val="CommentTextChar"/>
    <w:uiPriority w:val="99"/>
    <w:unhideWhenUsed/>
    <w:rsid w:val="00EF5B6F"/>
    <w:pPr>
      <w:widowControl/>
      <w:spacing w:after="200"/>
    </w:pPr>
    <w:rPr>
      <w:rFonts w:ascii="Segoe UI" w:eastAsiaTheme="minorHAnsi" w:hAnsi="Segoe UI" w:cstheme="minorBidi"/>
      <w:sz w:val="20"/>
      <w:szCs w:val="20"/>
    </w:rPr>
  </w:style>
  <w:style w:type="character" w:customStyle="1" w:styleId="CommentTextChar">
    <w:name w:val="Comment Text Char"/>
    <w:basedOn w:val="DefaultParagraphFont"/>
    <w:link w:val="CommentText"/>
    <w:uiPriority w:val="99"/>
    <w:rsid w:val="00EF5B6F"/>
    <w:rPr>
      <w:rFonts w:ascii="Segoe UI" w:hAnsi="Segoe UI"/>
      <w:sz w:val="20"/>
      <w:szCs w:val="20"/>
    </w:rPr>
  </w:style>
  <w:style w:type="paragraph" w:styleId="NoSpacing">
    <w:name w:val="No Spacing"/>
    <w:uiPriority w:val="1"/>
    <w:qFormat/>
    <w:rsid w:val="00EF5B6F"/>
    <w:pPr>
      <w:widowControl/>
    </w:pPr>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l.costa-2@umcutrecht.nl"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604</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Lorenzo Costa</cp:lastModifiedBy>
  <cp:revision>2</cp:revision>
  <dcterms:created xsi:type="dcterms:W3CDTF">2021-07-30T06:47:00Z</dcterms:created>
  <dcterms:modified xsi:type="dcterms:W3CDTF">2021-07-30T06:47:00Z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