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C4778" w14:textId="27910C7F" w:rsidR="00AE3E37" w:rsidRDefault="0037183A" w:rsidP="00494130">
      <w:pPr>
        <w:pStyle w:val="Heading1"/>
        <w:spacing w:before="170"/>
        <w:ind w:left="0"/>
      </w:pPr>
      <w:r>
        <w:rPr>
          <w:color w:val="337AB7"/>
        </w:rPr>
        <w:t>Cost-effectiveness of vancomycin powder for deep wound infection prophylaxis in spine fusion.</w:t>
      </w:r>
    </w:p>
    <w:p w14:paraId="4E636CF3" w14:textId="1715F272" w:rsidR="00445842" w:rsidRDefault="00445842" w:rsidP="005973B9">
      <w:pPr>
        <w:pStyle w:val="BodyText"/>
        <w:spacing w:before="73" w:line="198" w:lineRule="exact"/>
        <w:ind w:left="100" w:right="5987"/>
        <w:rPr>
          <w:rFonts w:ascii="Arial" w:hAnsi="Arial" w:cs="Arial"/>
          <w:lang w:val="es-MX"/>
        </w:rPr>
      </w:pPr>
      <w:r w:rsidRPr="00445842">
        <w:rPr>
          <w:rFonts w:ascii="Arial" w:hAnsi="Arial" w:cs="Arial"/>
          <w:lang w:val="es-MX"/>
        </w:rPr>
        <w:t>Dr</w:t>
      </w:r>
      <w:r>
        <w:rPr>
          <w:rFonts w:ascii="Arial" w:hAnsi="Arial" w:cs="Arial"/>
          <w:lang w:val="es-MX"/>
        </w:rPr>
        <w:t xml:space="preserve">. </w:t>
      </w:r>
      <w:r w:rsidRPr="00445842">
        <w:rPr>
          <w:rFonts w:ascii="Arial" w:hAnsi="Arial" w:cs="Arial"/>
          <w:lang w:val="es-MX"/>
        </w:rPr>
        <w:t>Alonso Alemán-Villalón</w:t>
      </w:r>
      <w:r>
        <w:rPr>
          <w:rFonts w:ascii="Arial" w:hAnsi="Arial" w:cs="Arial"/>
          <w:lang w:val="es-MX"/>
        </w:rPr>
        <w:t xml:space="preserve"> MD, Dr. VFN </w:t>
      </w:r>
      <w:r w:rsidR="0048190D">
        <w:rPr>
          <w:rFonts w:ascii="Arial" w:hAnsi="Arial" w:cs="Arial"/>
          <w:lang w:val="es-MX"/>
        </w:rPr>
        <w:t>hospital</w:t>
      </w:r>
      <w:r>
        <w:rPr>
          <w:rFonts w:ascii="Arial" w:hAnsi="Arial" w:cs="Arial"/>
          <w:lang w:val="es-MX"/>
        </w:rPr>
        <w:t>, Mexico</w:t>
      </w:r>
    </w:p>
    <w:p w14:paraId="66A51075" w14:textId="4DC6CB34" w:rsidR="00445842" w:rsidRDefault="00445842" w:rsidP="005973B9">
      <w:pPr>
        <w:pStyle w:val="BodyText"/>
        <w:spacing w:before="73" w:line="198" w:lineRule="exact"/>
        <w:ind w:left="100" w:right="5987"/>
        <w:rPr>
          <w:rFonts w:ascii="Arial" w:hAnsi="Arial" w:cs="Arial"/>
          <w:lang w:val="es-MX"/>
        </w:rPr>
      </w:pPr>
      <w:r>
        <w:rPr>
          <w:rFonts w:ascii="Arial" w:hAnsi="Arial" w:cs="Arial"/>
          <w:lang w:val="es-MX"/>
        </w:rPr>
        <w:t xml:space="preserve">Dr. </w:t>
      </w:r>
      <w:r w:rsidRPr="00445842">
        <w:rPr>
          <w:rFonts w:ascii="Arial" w:hAnsi="Arial" w:cs="Arial"/>
          <w:lang w:val="es-MX"/>
        </w:rPr>
        <w:t xml:space="preserve">Alfredo Javier Moheno-Gallardo, </w:t>
      </w:r>
      <w:r w:rsidR="0048190D">
        <w:rPr>
          <w:rFonts w:ascii="Arial" w:hAnsi="Arial" w:cs="Arial"/>
          <w:lang w:val="es-MX"/>
        </w:rPr>
        <w:t>MD, Dr. VFN hospital, Mexico</w:t>
      </w:r>
    </w:p>
    <w:p w14:paraId="525B22AC" w14:textId="543BED28" w:rsidR="00445842" w:rsidRDefault="00445842" w:rsidP="005973B9">
      <w:pPr>
        <w:pStyle w:val="BodyText"/>
        <w:spacing w:before="73" w:line="198" w:lineRule="exact"/>
        <w:ind w:left="100" w:right="5987"/>
        <w:rPr>
          <w:rFonts w:ascii="Arial" w:hAnsi="Arial" w:cs="Arial"/>
          <w:lang w:val="es-MX"/>
        </w:rPr>
      </w:pPr>
      <w:r>
        <w:rPr>
          <w:rFonts w:ascii="Arial" w:hAnsi="Arial" w:cs="Arial"/>
          <w:lang w:val="es-MX"/>
        </w:rPr>
        <w:t xml:space="preserve">Dr. </w:t>
      </w:r>
      <w:r w:rsidRPr="00445842">
        <w:rPr>
          <w:rFonts w:ascii="Arial" w:hAnsi="Arial" w:cs="Arial"/>
          <w:lang w:val="es-MX"/>
        </w:rPr>
        <w:t>Eulalio Elizalde-Martínez,</w:t>
      </w:r>
      <w:r w:rsidR="0048190D">
        <w:rPr>
          <w:rFonts w:ascii="Arial" w:hAnsi="Arial" w:cs="Arial"/>
          <w:lang w:val="es-MX"/>
        </w:rPr>
        <w:t xml:space="preserve"> MD, Dr. VFN Trauma, Mexico</w:t>
      </w:r>
    </w:p>
    <w:p w14:paraId="687E73D6" w14:textId="3C065FAF" w:rsidR="00445842" w:rsidRDefault="00445842" w:rsidP="005973B9">
      <w:pPr>
        <w:pStyle w:val="BodyText"/>
        <w:spacing w:before="73" w:line="198" w:lineRule="exact"/>
        <w:ind w:left="100" w:right="5987"/>
        <w:rPr>
          <w:rFonts w:ascii="Arial" w:hAnsi="Arial" w:cs="Arial"/>
          <w:lang w:val="es-MX"/>
        </w:rPr>
      </w:pPr>
      <w:r>
        <w:rPr>
          <w:rFonts w:ascii="Arial" w:hAnsi="Arial" w:cs="Arial"/>
          <w:lang w:val="es-MX"/>
        </w:rPr>
        <w:t xml:space="preserve">Dr. </w:t>
      </w:r>
      <w:r w:rsidRPr="00445842">
        <w:rPr>
          <w:rFonts w:ascii="Arial" w:hAnsi="Arial" w:cs="Arial"/>
          <w:lang w:val="es-MX"/>
        </w:rPr>
        <w:t xml:space="preserve">Jorge Quiroz-Williams, </w:t>
      </w:r>
      <w:r w:rsidR="0048190D">
        <w:rPr>
          <w:rFonts w:ascii="Arial" w:hAnsi="Arial" w:cs="Arial"/>
          <w:lang w:val="es-MX"/>
        </w:rPr>
        <w:t>MD, Dr. VFN Trauma, Mexico</w:t>
      </w:r>
    </w:p>
    <w:p w14:paraId="688C07A4" w14:textId="38C4F7BC" w:rsidR="00445842" w:rsidRPr="00445842" w:rsidRDefault="00445842" w:rsidP="005973B9">
      <w:pPr>
        <w:pStyle w:val="BodyText"/>
        <w:spacing w:before="73" w:line="198" w:lineRule="exact"/>
        <w:ind w:left="100" w:right="5987"/>
        <w:rPr>
          <w:rFonts w:ascii="Arial" w:hAnsi="Arial" w:cs="Arial"/>
          <w:lang w:val="es-MX"/>
        </w:rPr>
      </w:pPr>
      <w:r>
        <w:rPr>
          <w:rFonts w:ascii="Arial" w:hAnsi="Arial" w:cs="Arial"/>
          <w:lang w:val="es-MX"/>
        </w:rPr>
        <w:t xml:space="preserve">Dr. </w:t>
      </w:r>
      <w:r w:rsidRPr="00445842">
        <w:rPr>
          <w:rFonts w:ascii="Arial" w:hAnsi="Arial" w:cs="Arial"/>
          <w:lang w:val="es-MX"/>
        </w:rPr>
        <w:t>Jorge Alvaro González-Ross</w:t>
      </w:r>
      <w:r>
        <w:rPr>
          <w:rFonts w:ascii="Arial" w:hAnsi="Arial" w:cs="Arial"/>
          <w:lang w:val="es-MX"/>
        </w:rPr>
        <w:t xml:space="preserve"> </w:t>
      </w:r>
      <w:r w:rsidR="0048190D">
        <w:rPr>
          <w:rFonts w:ascii="Arial" w:hAnsi="Arial" w:cs="Arial"/>
          <w:lang w:val="es-MX"/>
        </w:rPr>
        <w:t>MD,</w:t>
      </w:r>
      <w:r w:rsidR="00632007">
        <w:rPr>
          <w:rFonts w:ascii="Arial" w:hAnsi="Arial" w:cs="Arial"/>
          <w:lang w:val="es-MX"/>
        </w:rPr>
        <w:t>HAC</w:t>
      </w:r>
      <w:r w:rsidR="0048190D">
        <w:rPr>
          <w:rFonts w:ascii="Arial" w:hAnsi="Arial" w:cs="Arial"/>
          <w:lang w:val="es-MX"/>
        </w:rPr>
        <w:t xml:space="preserve"> Mexico</w:t>
      </w:r>
    </w:p>
    <w:p w14:paraId="35C6819E" w14:textId="77777777" w:rsidR="00AE3E37" w:rsidRPr="00445842" w:rsidRDefault="00AE3E37">
      <w:pPr>
        <w:pStyle w:val="BodyText"/>
        <w:rPr>
          <w:rFonts w:ascii="Arial"/>
          <w:sz w:val="20"/>
          <w:lang w:val="es-MX"/>
        </w:rPr>
      </w:pPr>
    </w:p>
    <w:p w14:paraId="1B67643D" w14:textId="77777777" w:rsidR="00AE3E37" w:rsidRPr="00445842" w:rsidRDefault="00AE3E37">
      <w:pPr>
        <w:pStyle w:val="BodyText"/>
        <w:spacing w:before="3"/>
        <w:rPr>
          <w:rFonts w:ascii="Arial"/>
          <w:sz w:val="21"/>
          <w:lang w:val="es-MX"/>
        </w:rPr>
      </w:pPr>
    </w:p>
    <w:p w14:paraId="687D49D4" w14:textId="77777777" w:rsidR="00AE3E37" w:rsidRPr="00445842" w:rsidRDefault="00AE3E37">
      <w:pPr>
        <w:rPr>
          <w:rFonts w:ascii="Arial"/>
          <w:sz w:val="21"/>
          <w:lang w:val="es-MX"/>
        </w:rPr>
        <w:sectPr w:rsidR="00AE3E37" w:rsidRPr="00445842">
          <w:headerReference w:type="default" r:id="rId7"/>
          <w:footerReference w:type="default" r:id="rId8"/>
          <w:type w:val="continuous"/>
          <w:pgSz w:w="11910" w:h="16840"/>
          <w:pgMar w:top="1740" w:right="600" w:bottom="840" w:left="620" w:header="541" w:footer="642" w:gutter="0"/>
          <w:cols w:space="720"/>
        </w:sectPr>
      </w:pPr>
    </w:p>
    <w:p w14:paraId="298649C5" w14:textId="77777777" w:rsidR="00AE3E37" w:rsidRDefault="00A9710C">
      <w:pPr>
        <w:pStyle w:val="Heading3"/>
        <w:spacing w:before="147"/>
        <w:jc w:val="both"/>
      </w:pPr>
      <w:r>
        <w:rPr>
          <w:color w:val="BF5A14"/>
        </w:rPr>
        <w:t>Abstract</w:t>
      </w:r>
      <w:r w:rsidR="00404E5B">
        <w:rPr>
          <w:color w:val="BF5A14"/>
        </w:rPr>
        <w:t xml:space="preserve"> (300 word limit)</w:t>
      </w:r>
    </w:p>
    <w:p w14:paraId="0D4728B1" w14:textId="77777777" w:rsidR="00B65AD2" w:rsidRPr="00B65AD2" w:rsidRDefault="00B65AD2" w:rsidP="00B65AD2">
      <w:pPr>
        <w:shd w:val="clear" w:color="auto" w:fill="FFFFFF"/>
        <w:spacing w:before="100" w:beforeAutospacing="1" w:after="100" w:afterAutospacing="1"/>
        <w:outlineLvl w:val="1"/>
        <w:rPr>
          <w:rFonts w:eastAsia="Times New Roman" w:cs="Times New Roman"/>
          <w:color w:val="403D39"/>
          <w:sz w:val="18"/>
          <w:szCs w:val="18"/>
          <w:lang w:val="en-GB" w:eastAsia="es-MX"/>
        </w:rPr>
      </w:pPr>
      <w:r w:rsidRPr="00B65AD2">
        <w:rPr>
          <w:rFonts w:eastAsia="Times New Roman" w:cs="Times New Roman"/>
          <w:color w:val="00314C"/>
          <w:sz w:val="18"/>
          <w:szCs w:val="18"/>
          <w:lang w:val="en-GB" w:eastAsia="es-MX"/>
        </w:rPr>
        <w:t>Objective:</w:t>
      </w:r>
      <w:r w:rsidRPr="00B65AD2">
        <w:rPr>
          <w:rFonts w:eastAsia="Times New Roman" w:cs="Times New Roman"/>
          <w:color w:val="403D39"/>
          <w:sz w:val="18"/>
          <w:szCs w:val="18"/>
          <w:lang w:val="en-GB" w:eastAsia="es-MX"/>
        </w:rPr>
        <w:t>To identify the cost effectiveness of vancomycin powder in the prophylaxis of posterior lumbar spine instrumentation, seeking potential savings.</w:t>
      </w:r>
    </w:p>
    <w:p w14:paraId="7DF0BC4E" w14:textId="77777777" w:rsidR="00B65AD2" w:rsidRPr="00B65AD2" w:rsidRDefault="00B65AD2" w:rsidP="00B65AD2">
      <w:pPr>
        <w:shd w:val="clear" w:color="auto" w:fill="FFFFFF"/>
        <w:spacing w:before="100" w:beforeAutospacing="1" w:after="100" w:afterAutospacing="1"/>
        <w:outlineLvl w:val="1"/>
        <w:rPr>
          <w:rFonts w:eastAsia="Times New Roman" w:cs="Times New Roman"/>
          <w:color w:val="403D39"/>
          <w:sz w:val="18"/>
          <w:szCs w:val="18"/>
          <w:lang w:val="en-GB" w:eastAsia="es-MX"/>
        </w:rPr>
      </w:pPr>
      <w:r w:rsidRPr="00B65AD2">
        <w:rPr>
          <w:rFonts w:eastAsia="Times New Roman" w:cs="Times New Roman"/>
          <w:color w:val="00314C"/>
          <w:sz w:val="18"/>
          <w:szCs w:val="18"/>
          <w:lang w:val="en-GB" w:eastAsia="es-MX"/>
        </w:rPr>
        <w:t>Methods:</w:t>
      </w:r>
      <w:r>
        <w:rPr>
          <w:rFonts w:eastAsia="Times New Roman" w:cs="Times New Roman"/>
          <w:color w:val="00314C"/>
          <w:sz w:val="18"/>
          <w:szCs w:val="18"/>
          <w:lang w:val="en-GB" w:eastAsia="es-MX"/>
        </w:rPr>
        <w:t xml:space="preserve"> </w:t>
      </w:r>
      <w:r w:rsidRPr="00B65AD2">
        <w:rPr>
          <w:rFonts w:eastAsia="Times New Roman" w:cs="Times New Roman"/>
          <w:color w:val="403D39"/>
          <w:sz w:val="18"/>
          <w:szCs w:val="18"/>
          <w:lang w:val="en-GB" w:eastAsia="es-MX"/>
        </w:rPr>
        <w:t>A retrospective, observational study was performed to evaluate the cost effectiveness. Data were retrieved from patients’ files from March 2016 to April 2017; costs were considered for the procedures, as well as which antibiotic was used.</w:t>
      </w:r>
    </w:p>
    <w:p w14:paraId="1774EA69" w14:textId="77777777" w:rsidR="00B65AD2" w:rsidRPr="00B65AD2" w:rsidRDefault="00B65AD2" w:rsidP="00B65AD2">
      <w:pPr>
        <w:shd w:val="clear" w:color="auto" w:fill="FFFFFF"/>
        <w:spacing w:before="100" w:beforeAutospacing="1" w:after="100" w:afterAutospacing="1"/>
        <w:outlineLvl w:val="1"/>
        <w:rPr>
          <w:rFonts w:eastAsia="Times New Roman" w:cs="Times New Roman"/>
          <w:color w:val="403D39"/>
          <w:sz w:val="18"/>
          <w:szCs w:val="18"/>
          <w:lang w:val="en-GB" w:eastAsia="es-MX"/>
        </w:rPr>
      </w:pPr>
      <w:r w:rsidRPr="00B65AD2">
        <w:rPr>
          <w:rFonts w:eastAsia="Times New Roman" w:cs="Times New Roman"/>
          <w:color w:val="00314C"/>
          <w:sz w:val="18"/>
          <w:szCs w:val="18"/>
          <w:lang w:val="en-GB" w:eastAsia="es-MX"/>
        </w:rPr>
        <w:t>Results:</w:t>
      </w:r>
      <w:r w:rsidRPr="00B65AD2">
        <w:rPr>
          <w:rFonts w:eastAsia="Times New Roman" w:cs="Times New Roman"/>
          <w:color w:val="403D39"/>
          <w:sz w:val="18"/>
          <w:szCs w:val="18"/>
          <w:lang w:val="en-GB" w:eastAsia="es-MX"/>
        </w:rPr>
        <w:t>A total of 184 patients were included. Of these, 102 received prophylactic treatment with 1g of cephalothin and 82 received 1g of cephalothin and 1g of vancomycin powder, which was applied to the wound prior to tissue closure. Of the 184 patients, 110 were women (59%) and 74 were men (41%), and the mean age was 55 years (24-77). The participants had a median BMI of 28.9 kg/m</w:t>
      </w:r>
      <w:r w:rsidRPr="00B65AD2">
        <w:rPr>
          <w:rFonts w:eastAsia="Times New Roman" w:cs="Times New Roman"/>
          <w:color w:val="403D39"/>
          <w:sz w:val="18"/>
          <w:szCs w:val="18"/>
          <w:vertAlign w:val="superscript"/>
          <w:lang w:val="en-GB" w:eastAsia="es-MX"/>
        </w:rPr>
        <w:t>2</w:t>
      </w:r>
      <w:r w:rsidRPr="00B65AD2">
        <w:rPr>
          <w:rFonts w:eastAsia="Times New Roman" w:cs="Times New Roman"/>
          <w:color w:val="403D39"/>
          <w:sz w:val="18"/>
          <w:szCs w:val="18"/>
          <w:lang w:val="en-GB" w:eastAsia="es-MX"/>
        </w:rPr>
        <w:t> (19-39). The average cost per hospitalized patient was $3974 USD and the average cost of rehospitalization due to infection was, on average, $7700 USD. The use of vancomycin powder led to cost savings of $75,008.79 USD per 100 posterior spinal fusions performed for degenerative spine.</w:t>
      </w:r>
    </w:p>
    <w:p w14:paraId="0BA69DAF" w14:textId="77777777" w:rsidR="00632007" w:rsidRDefault="00B65AD2" w:rsidP="00632007">
      <w:pPr>
        <w:shd w:val="clear" w:color="auto" w:fill="FFFFFF"/>
        <w:spacing w:before="100" w:beforeAutospacing="1" w:after="100" w:afterAutospacing="1"/>
        <w:outlineLvl w:val="1"/>
        <w:rPr>
          <w:rFonts w:eastAsia="Times New Roman" w:cs="Times New Roman"/>
          <w:color w:val="403D39"/>
          <w:sz w:val="18"/>
          <w:szCs w:val="18"/>
          <w:lang w:val="en-GB" w:eastAsia="es-MX"/>
        </w:rPr>
      </w:pPr>
      <w:r w:rsidRPr="00B65AD2">
        <w:rPr>
          <w:rFonts w:eastAsia="Times New Roman" w:cs="Times New Roman"/>
          <w:color w:val="00314C"/>
          <w:sz w:val="18"/>
          <w:szCs w:val="18"/>
          <w:lang w:val="en-GB" w:eastAsia="es-MX"/>
        </w:rPr>
        <w:t>Conclusion:</w:t>
      </w:r>
      <w:r w:rsidRPr="00B65AD2">
        <w:rPr>
          <w:rFonts w:eastAsia="Times New Roman" w:cs="Times New Roman"/>
          <w:color w:val="403D39"/>
          <w:sz w:val="18"/>
          <w:szCs w:val="18"/>
          <w:lang w:val="en-GB" w:eastAsia="es-MX"/>
        </w:rPr>
        <w:t>The use of vancomycin powder is a cost-effective option for prophylaxis of surgical site infection in spine fusion. </w:t>
      </w:r>
    </w:p>
    <w:p w14:paraId="7731AF7F" w14:textId="248E8C3C" w:rsidR="00AE3E37" w:rsidRDefault="00A9710C" w:rsidP="00632007">
      <w:pPr>
        <w:shd w:val="clear" w:color="auto" w:fill="FFFFFF"/>
        <w:spacing w:before="100" w:beforeAutospacing="1" w:after="100" w:afterAutospacing="1"/>
        <w:outlineLvl w:val="1"/>
      </w:pPr>
      <w:r>
        <w:rPr>
          <w:color w:val="BF5A14"/>
        </w:rPr>
        <w:t>Image</w:t>
      </w:r>
    </w:p>
    <w:p w14:paraId="48268D7A" w14:textId="1DA165FB" w:rsidR="00AE3E37" w:rsidRDefault="00632007">
      <w:pPr>
        <w:pStyle w:val="BodyText"/>
        <w:spacing w:before="2"/>
        <w:rPr>
          <w:rFonts w:ascii="Arial"/>
          <w:b/>
          <w:sz w:val="16"/>
        </w:rPr>
      </w:pPr>
      <w:r w:rsidRPr="00D63615">
        <w:rPr>
          <w:rFonts w:ascii="Times New Roman" w:hAnsi="Times New Roman" w:cs="Times New Roman"/>
          <w:noProof/>
          <w:sz w:val="24"/>
          <w:szCs w:val="24"/>
        </w:rPr>
        <w:drawing>
          <wp:inline distT="0" distB="0" distL="0" distR="0" wp14:anchorId="53D20C13" wp14:editId="4231CC6C">
            <wp:extent cx="1311015" cy="88582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8048" cy="904090"/>
                    </a:xfrm>
                    <a:prstGeom prst="rect">
                      <a:avLst/>
                    </a:prstGeom>
                    <a:noFill/>
                    <a:ln>
                      <a:noFill/>
                    </a:ln>
                  </pic:spPr>
                </pic:pic>
              </a:graphicData>
            </a:graphic>
          </wp:inline>
        </w:drawing>
      </w:r>
    </w:p>
    <w:p w14:paraId="0A0E625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C50A25A" w14:textId="77777777" w:rsidR="00F330E2" w:rsidRPr="00F330E2" w:rsidRDefault="00F330E2" w:rsidP="00F330E2">
      <w:pPr>
        <w:pStyle w:val="NoSpacing"/>
        <w:spacing w:line="276" w:lineRule="auto"/>
        <w:rPr>
          <w:rStyle w:val="Hyperlink"/>
          <w:rFonts w:asciiTheme="minorHAnsi" w:hAnsiTheme="minorHAnsi" w:cstheme="minorHAnsi"/>
          <w:bCs/>
          <w:color w:val="555555"/>
          <w:sz w:val="18"/>
          <w:szCs w:val="18"/>
          <w:u w:val="none"/>
        </w:rPr>
      </w:pPr>
      <w:r w:rsidRPr="00F330E2">
        <w:rPr>
          <w:rFonts w:asciiTheme="minorHAnsi" w:hAnsiTheme="minorHAnsi" w:cstheme="minorHAnsi"/>
          <w:bCs/>
          <w:sz w:val="18"/>
          <w:szCs w:val="18"/>
          <w:lang w:val="en-US"/>
        </w:rPr>
        <w:t xml:space="preserve">Gonzalez-Ross JA, Moheno-Gallardo AJ, Elizalde-Martinez E, Perez-Atanasio JM, Martinez-Martinez R. Intrasite vancomycin powder as a prophylactic adjuvant in lumbar fusion, Coluna/Columna Accepted for publication. </w:t>
      </w:r>
      <w:r w:rsidRPr="00F330E2">
        <w:rPr>
          <w:rFonts w:asciiTheme="minorHAnsi" w:hAnsiTheme="minorHAnsi" w:cstheme="minorHAnsi"/>
          <w:bCs/>
          <w:sz w:val="18"/>
          <w:szCs w:val="18"/>
        </w:rPr>
        <w:t>15(1), 44-47.</w:t>
      </w:r>
      <w:r w:rsidRPr="00F330E2">
        <w:rPr>
          <w:rStyle w:val="apple-converted-space"/>
          <w:rFonts w:asciiTheme="minorHAnsi" w:hAnsiTheme="minorHAnsi" w:cstheme="minorHAnsi"/>
          <w:bCs/>
          <w:sz w:val="18"/>
          <w:szCs w:val="18"/>
        </w:rPr>
        <w:t> </w:t>
      </w:r>
      <w:hyperlink r:id="rId10" w:history="1">
        <w:r w:rsidRPr="00F330E2">
          <w:rPr>
            <w:rStyle w:val="Hyperlink"/>
            <w:rFonts w:asciiTheme="minorHAnsi" w:hAnsiTheme="minorHAnsi" w:cstheme="minorHAnsi"/>
            <w:bCs/>
            <w:color w:val="555555"/>
            <w:sz w:val="18"/>
            <w:szCs w:val="18"/>
            <w:u w:val="none"/>
          </w:rPr>
          <w:t>https://dx.doi.org/10.1590/S1808-185120161501154501</w:t>
        </w:r>
      </w:hyperlink>
    </w:p>
    <w:p w14:paraId="0C710ED2" w14:textId="77777777" w:rsidR="00F330E2" w:rsidRPr="00F330E2" w:rsidRDefault="00F330E2" w:rsidP="00F330E2">
      <w:pPr>
        <w:pStyle w:val="Heading3"/>
        <w:shd w:val="clear" w:color="auto" w:fill="FFFFFF"/>
        <w:spacing w:before="300" w:line="276" w:lineRule="auto"/>
        <w:rPr>
          <w:rStyle w:val="Hyperlink"/>
          <w:rFonts w:asciiTheme="minorHAnsi" w:hAnsiTheme="minorHAnsi" w:cstheme="minorHAnsi"/>
          <w:b w:val="0"/>
          <w:spacing w:val="2"/>
          <w:sz w:val="18"/>
          <w:szCs w:val="18"/>
          <w:u w:val="none"/>
          <w:bdr w:val="none" w:sz="0" w:space="0" w:color="auto" w:frame="1"/>
          <w:shd w:val="clear" w:color="auto" w:fill="FFFFFF"/>
          <w:lang w:val="es-MX"/>
        </w:rPr>
      </w:pPr>
      <w:hyperlink r:id="rId11"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Jorge Arturo Cabrera Escamilla</w:t>
        </w:r>
      </w:hyperlink>
      <w:r w:rsidRPr="00F330E2">
        <w:rPr>
          <w:rFonts w:asciiTheme="minorHAnsi" w:hAnsiTheme="minorHAnsi" w:cstheme="minorHAnsi"/>
          <w:b w:val="0"/>
          <w:spacing w:val="2"/>
          <w:sz w:val="18"/>
          <w:szCs w:val="18"/>
          <w:shd w:val="clear" w:color="auto" w:fill="FFFFFF"/>
          <w:lang w:val="es-MX"/>
        </w:rPr>
        <w:t>, </w:t>
      </w:r>
      <w:hyperlink r:id="rId12"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Jorge Álvaro González Ross</w:t>
        </w:r>
      </w:hyperlink>
      <w:r w:rsidRPr="00F330E2">
        <w:rPr>
          <w:rFonts w:asciiTheme="minorHAnsi" w:hAnsiTheme="minorHAnsi" w:cstheme="minorHAnsi"/>
          <w:b w:val="0"/>
          <w:spacing w:val="2"/>
          <w:sz w:val="18"/>
          <w:szCs w:val="18"/>
          <w:shd w:val="clear" w:color="auto" w:fill="FFFFFF"/>
          <w:lang w:val="es-MX"/>
        </w:rPr>
        <w:t>, </w:t>
      </w:r>
      <w:hyperlink r:id="rId13"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José Manuel Pérez Atanasio</w:t>
        </w:r>
      </w:hyperlink>
      <w:r w:rsidRPr="00F330E2">
        <w:rPr>
          <w:rFonts w:asciiTheme="minorHAnsi" w:hAnsiTheme="minorHAnsi" w:cstheme="minorHAnsi"/>
          <w:b w:val="0"/>
          <w:spacing w:val="2"/>
          <w:sz w:val="18"/>
          <w:szCs w:val="18"/>
          <w:shd w:val="clear" w:color="auto" w:fill="FFFFFF"/>
          <w:lang w:val="es-MX"/>
        </w:rPr>
        <w:t>, </w:t>
      </w:r>
      <w:hyperlink r:id="rId14"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Gustavo Casas Martínez</w:t>
        </w:r>
      </w:hyperlink>
      <w:r w:rsidRPr="00F330E2">
        <w:rPr>
          <w:rFonts w:asciiTheme="minorHAnsi" w:hAnsiTheme="minorHAnsi" w:cstheme="minorHAnsi"/>
          <w:b w:val="0"/>
          <w:spacing w:val="2"/>
          <w:sz w:val="18"/>
          <w:szCs w:val="18"/>
          <w:shd w:val="clear" w:color="auto" w:fill="FFFFFF"/>
          <w:lang w:val="es-MX"/>
        </w:rPr>
        <w:t>, </w:t>
      </w:r>
      <w:hyperlink r:id="rId15"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Arelhi González Cisneros</w:t>
        </w:r>
      </w:hyperlink>
      <w:r w:rsidRPr="00F330E2">
        <w:rPr>
          <w:rFonts w:asciiTheme="minorHAnsi" w:hAnsiTheme="minorHAnsi" w:cstheme="minorHAnsi"/>
          <w:b w:val="0"/>
          <w:spacing w:val="2"/>
          <w:sz w:val="18"/>
          <w:szCs w:val="18"/>
          <w:shd w:val="clear" w:color="auto" w:fill="FFFFFF"/>
          <w:lang w:val="es-MX"/>
        </w:rPr>
        <w:t>, </w:t>
      </w:r>
      <w:hyperlink r:id="rId16"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Jose Jimenez Avila</w:t>
        </w:r>
      </w:hyperlink>
      <w:r w:rsidRPr="00F330E2">
        <w:rPr>
          <w:rFonts w:asciiTheme="minorHAnsi" w:hAnsiTheme="minorHAnsi" w:cstheme="minorHAnsi"/>
          <w:b w:val="0"/>
          <w:color w:val="000000"/>
          <w:spacing w:val="2"/>
          <w:sz w:val="18"/>
          <w:szCs w:val="18"/>
          <w:lang w:val="es-MX"/>
        </w:rPr>
        <w:t xml:space="preserve"> Spinal Gunshot Wounds: Pattern and Associated Lesions in Civilians </w:t>
      </w:r>
      <w:r w:rsidRPr="00F330E2">
        <w:rPr>
          <w:rFonts w:asciiTheme="minorHAnsi" w:hAnsiTheme="minorHAnsi" w:cstheme="minorHAnsi"/>
          <w:b w:val="0"/>
          <w:sz w:val="18"/>
          <w:szCs w:val="18"/>
          <w:lang w:val="es-MX"/>
        </w:rPr>
        <w:t xml:space="preserve"> </w:t>
      </w:r>
      <w:r w:rsidRPr="00F330E2">
        <w:rPr>
          <w:rFonts w:asciiTheme="minorHAnsi" w:hAnsiTheme="minorHAnsi" w:cstheme="minorHAnsi"/>
          <w:b w:val="0"/>
          <w:color w:val="000000"/>
          <w:spacing w:val="2"/>
          <w:sz w:val="18"/>
          <w:szCs w:val="18"/>
          <w:shd w:val="clear" w:color="auto" w:fill="FFFFFF"/>
          <w:lang w:val="es-MX"/>
        </w:rPr>
        <w:t>Asian Spine Journal 2018;12(4):648-655.</w:t>
      </w:r>
      <w:r w:rsidRPr="00F330E2">
        <w:rPr>
          <w:rFonts w:asciiTheme="minorHAnsi" w:hAnsiTheme="minorHAnsi" w:cstheme="minorHAnsi"/>
          <w:b w:val="0"/>
          <w:spacing w:val="2"/>
          <w:sz w:val="18"/>
          <w:szCs w:val="18"/>
          <w:shd w:val="clear" w:color="auto" w:fill="FFFFFF"/>
          <w:lang w:val="es-MX"/>
        </w:rPr>
        <w:t xml:space="preserve"> </w:t>
      </w:r>
      <w:hyperlink r:id="rId17" w:history="1">
        <w:r w:rsidRPr="00F330E2">
          <w:rPr>
            <w:rStyle w:val="Hyperlink"/>
            <w:rFonts w:asciiTheme="minorHAnsi" w:hAnsiTheme="minorHAnsi" w:cstheme="minorHAnsi"/>
            <w:b w:val="0"/>
            <w:spacing w:val="2"/>
            <w:sz w:val="18"/>
            <w:szCs w:val="18"/>
            <w:u w:val="none"/>
            <w:bdr w:val="none" w:sz="0" w:space="0" w:color="auto" w:frame="1"/>
            <w:shd w:val="clear" w:color="auto" w:fill="FFFFFF"/>
            <w:lang w:val="es-MX"/>
          </w:rPr>
          <w:t>https://doi.org/10.31616/asj.2018.12.4.648</w:t>
        </w:r>
      </w:hyperlink>
    </w:p>
    <w:p w14:paraId="685243A3" w14:textId="77777777" w:rsidR="00F330E2" w:rsidRPr="00F330E2" w:rsidRDefault="00F330E2" w:rsidP="00F330E2">
      <w:pPr>
        <w:pStyle w:val="NoSpacing"/>
        <w:spacing w:line="276" w:lineRule="auto"/>
        <w:jc w:val="both"/>
        <w:rPr>
          <w:rFonts w:asciiTheme="minorHAnsi" w:hAnsiTheme="minorHAnsi" w:cstheme="minorHAnsi"/>
          <w:bCs/>
          <w:color w:val="365F91" w:themeColor="accent1" w:themeShade="BF"/>
          <w:sz w:val="18"/>
          <w:szCs w:val="18"/>
          <w:shd w:val="clear" w:color="auto" w:fill="FFFFFF"/>
        </w:rPr>
      </w:pPr>
    </w:p>
    <w:p w14:paraId="36F9AAA5" w14:textId="77777777" w:rsidR="00F330E2" w:rsidRPr="00F330E2" w:rsidRDefault="00F330E2" w:rsidP="00F330E2">
      <w:pPr>
        <w:pStyle w:val="NoSpacing"/>
        <w:spacing w:line="276" w:lineRule="auto"/>
        <w:jc w:val="both"/>
        <w:rPr>
          <w:rFonts w:asciiTheme="minorHAnsi" w:hAnsiTheme="minorHAnsi" w:cstheme="minorHAnsi"/>
          <w:bCs/>
          <w:color w:val="auto"/>
          <w:sz w:val="18"/>
          <w:szCs w:val="18"/>
          <w:shd w:val="clear" w:color="auto" w:fill="FFFFFF"/>
        </w:rPr>
      </w:pPr>
      <w:r w:rsidRPr="00F330E2">
        <w:rPr>
          <w:rFonts w:asciiTheme="minorHAnsi" w:hAnsiTheme="minorHAnsi" w:cstheme="minorHAnsi"/>
          <w:bCs/>
          <w:color w:val="auto"/>
          <w:sz w:val="18"/>
          <w:szCs w:val="18"/>
          <w:shd w:val="clear" w:color="auto" w:fill="FFFFFF"/>
        </w:rPr>
        <w:t xml:space="preserve">González RJÁ, Dittmar JHM, González UJÁ “Tratamiento quirúrgico de las fracturas vertebrales por fragilidad: revisión de la literatura reciente” Ortho-Tips 2019; 15(2) </w:t>
      </w:r>
    </w:p>
    <w:p w14:paraId="23143B08" w14:textId="77777777" w:rsidR="00F330E2" w:rsidRPr="00F330E2" w:rsidRDefault="00F330E2" w:rsidP="00F330E2">
      <w:pPr>
        <w:pStyle w:val="NoSpacing"/>
        <w:spacing w:line="276" w:lineRule="auto"/>
        <w:jc w:val="both"/>
        <w:rPr>
          <w:rFonts w:asciiTheme="minorHAnsi" w:hAnsiTheme="minorHAnsi" w:cstheme="minorHAnsi"/>
          <w:bCs/>
          <w:color w:val="auto"/>
          <w:sz w:val="18"/>
          <w:szCs w:val="18"/>
          <w:shd w:val="clear" w:color="auto" w:fill="FFFFFF"/>
        </w:rPr>
      </w:pPr>
    </w:p>
    <w:p w14:paraId="5A29797F" w14:textId="77777777" w:rsidR="00F330E2" w:rsidRPr="00F330E2" w:rsidRDefault="00F330E2" w:rsidP="00F330E2">
      <w:pPr>
        <w:jc w:val="both"/>
        <w:rPr>
          <w:rFonts w:asciiTheme="minorHAnsi" w:hAnsiTheme="minorHAnsi" w:cstheme="minorHAnsi"/>
          <w:bCs/>
          <w:sz w:val="18"/>
          <w:szCs w:val="18"/>
        </w:rPr>
      </w:pPr>
      <w:r w:rsidRPr="00F330E2">
        <w:rPr>
          <w:rStyle w:val="dropdown"/>
          <w:rFonts w:asciiTheme="minorHAnsi" w:hAnsiTheme="minorHAnsi" w:cstheme="minorHAnsi"/>
          <w:bCs/>
          <w:color w:val="403D39"/>
          <w:sz w:val="18"/>
          <w:szCs w:val="18"/>
          <w:shd w:val="clear" w:color="auto" w:fill="FFFFFF"/>
          <w:lang w:val="en-GB"/>
        </w:rPr>
        <w:t>Alonso Alemán-VillalónAlfredo Javier Moheno-GallardoEulalio Elizalde-MartínezJorge Quiroz-Williams Jorge Alvaro González-Ross</w:t>
      </w:r>
      <w:r w:rsidRPr="00F330E2">
        <w:rPr>
          <w:rFonts w:asciiTheme="minorHAnsi" w:hAnsiTheme="minorHAnsi" w:cstheme="minorHAnsi"/>
          <w:bCs/>
          <w:color w:val="403D39"/>
          <w:sz w:val="18"/>
          <w:szCs w:val="18"/>
          <w:shd w:val="clear" w:color="auto" w:fill="FFFFFF"/>
          <w:lang w:val="en-GB"/>
        </w:rPr>
        <w:t xml:space="preserve"> COST-EFFECTIVENESS OF VANCOMYCIN POWDER FOR DEEP WOUND INFECTION PROPHYLAXIS IN SPINE FUSION. </w:t>
      </w:r>
      <w:r w:rsidRPr="00F330E2">
        <w:rPr>
          <w:rFonts w:asciiTheme="minorHAnsi" w:hAnsiTheme="minorHAnsi" w:cstheme="minorHAnsi"/>
          <w:bCs/>
          <w:color w:val="403D39"/>
          <w:sz w:val="18"/>
          <w:szCs w:val="18"/>
          <w:shd w:val="clear" w:color="auto" w:fill="FFFFFF"/>
        </w:rPr>
        <w:t>Coluna/Columna. 2021, v. 20, n. 1, pp. 38-41</w:t>
      </w:r>
    </w:p>
    <w:p w14:paraId="01604E15" w14:textId="473D0E0B" w:rsidR="005973B9" w:rsidRDefault="005973B9" w:rsidP="005973B9">
      <w:pPr>
        <w:pStyle w:val="BodyText"/>
        <w:spacing w:before="85" w:line="216" w:lineRule="exact"/>
        <w:ind w:left="383" w:right="138" w:hanging="284"/>
        <w:jc w:val="both"/>
        <w:rPr>
          <w:rFonts w:ascii="Calibri" w:hAnsi="Calibri"/>
        </w:rPr>
      </w:pPr>
    </w:p>
    <w:p w14:paraId="66A02763" w14:textId="77777777" w:rsidR="00AE3E37" w:rsidRPr="008756E6" w:rsidRDefault="00AE3E37" w:rsidP="008756E6">
      <w:pPr>
        <w:tabs>
          <w:tab w:val="left" w:pos="384"/>
        </w:tabs>
        <w:ind w:right="117"/>
      </w:pPr>
    </w:p>
    <w:p w14:paraId="2913DDC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A30E8CC"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15FC675" w14:textId="0233DC04" w:rsidR="00AE3E37" w:rsidRDefault="00937D89">
      <w:pPr>
        <w:pStyle w:val="BodyText"/>
        <w:spacing w:line="40" w:lineRule="exact"/>
        <w:ind w:left="2202"/>
        <w:rPr>
          <w:rFonts w:ascii="Calibri"/>
          <w:sz w:val="4"/>
        </w:rPr>
      </w:pPr>
      <w:r>
        <w:rPr>
          <w:noProof/>
        </w:rPr>
        <mc:AlternateContent>
          <mc:Choice Requires="wpg">
            <w:drawing>
              <wp:inline distT="0" distB="0" distL="0" distR="0" wp14:anchorId="7D588C1C" wp14:editId="50F92CAD">
                <wp:extent cx="3975735" cy="25400"/>
                <wp:effectExtent l="0" t="0" r="0" b="0"/>
                <wp:docPr id="1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0" name="Line 5"/>
                        <wps:cNvCnPr/>
                        <wps:spPr bwMode="auto">
                          <a:xfrm>
                            <a:off x="20" y="20"/>
                            <a:ext cx="6221" cy="0"/>
                          </a:xfrm>
                          <a:prstGeom prst="line">
                            <a:avLst/>
                          </a:prstGeom>
                          <a:noFill/>
                          <a:ln w="25400">
                            <a:solidFill>
                              <a:srgbClr val="004080"/>
                            </a:solidFill>
                            <a:round/>
                            <a:headEnd/>
                            <a:tailEnd/>
                          </a:ln>
                        </wps:spPr>
                        <wps:bodyPr/>
                      </wps:wsp>
                    </wpg:wgp>
                  </a:graphicData>
                </a:graphic>
              </wp:inline>
            </w:drawing>
          </mc:Choice>
          <mc:Fallback>
            <w:pict>
              <v:group w14:anchorId="3F4B47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FQ1Bsc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" strokecolor="#004080" strokeweight="2pt"/>
                <w10:anchorlock/>
              </v:group>
            </w:pict>
          </mc:Fallback>
        </mc:AlternateContent>
      </w:r>
    </w:p>
    <w:p w14:paraId="124D4329" w14:textId="284E85FA" w:rsidR="00AE3E37" w:rsidRDefault="00B65AD2" w:rsidP="00404E5B">
      <w:pPr>
        <w:spacing w:before="92"/>
        <w:ind w:right="4234"/>
        <w:rPr>
          <w:rFonts w:ascii="Arial"/>
        </w:rPr>
      </w:pPr>
      <w:r>
        <w:rPr>
          <w:noProof/>
        </w:rPr>
        <w:drawing>
          <wp:anchor distT="0" distB="0" distL="114300" distR="114300" simplePos="0" relativeHeight="251660288" behindDoc="0" locked="0" layoutInCell="1" allowOverlap="1" wp14:anchorId="4FF00445" wp14:editId="21B6C31D">
            <wp:simplePos x="0" y="0"/>
            <wp:positionH relativeFrom="margin">
              <wp:posOffset>539749</wp:posOffset>
            </wp:positionH>
            <wp:positionV relativeFrom="paragraph">
              <wp:posOffset>53974</wp:posOffset>
            </wp:positionV>
            <wp:extent cx="622935" cy="622935"/>
            <wp:effectExtent l="0" t="0" r="5715" b="5715"/>
            <wp:wrapNone/>
            <wp:docPr id="2" name="Picture 2" descr="A person with a be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a beard&#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8756E6">
        <w:rPr>
          <w:noProof/>
          <w:lang w:val="en-IN" w:eastAsia="en-IN"/>
        </w:rPr>
        <w:drawing>
          <wp:inline distT="0" distB="0" distL="0" distR="0" wp14:anchorId="195B8506" wp14:editId="670AF0F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2355E27" w14:textId="77777777" w:rsidR="00B65AD2" w:rsidRPr="00B65AD2" w:rsidRDefault="00A9710C" w:rsidP="00B65AD2">
      <w:pPr>
        <w:jc w:val="both"/>
        <w:rPr>
          <w:rFonts w:ascii="Arial" w:hAnsi="Arial" w:cs="Arial"/>
          <w:sz w:val="14"/>
          <w:szCs w:val="14"/>
        </w:rPr>
      </w:pPr>
      <w:r>
        <w:rPr>
          <w:rFonts w:ascii="Arial"/>
          <w:sz w:val="14"/>
        </w:rPr>
        <w:t>D</w:t>
      </w:r>
      <w:r w:rsidR="0078738A">
        <w:rPr>
          <w:rFonts w:ascii="Arial"/>
          <w:sz w:val="14"/>
        </w:rPr>
        <w:t xml:space="preserve">r </w:t>
      </w:r>
      <w:r w:rsidR="00B65AD2" w:rsidRPr="00B65AD2">
        <w:rPr>
          <w:rFonts w:ascii="Arial" w:hAnsi="Arial" w:cs="Arial"/>
          <w:sz w:val="14"/>
          <w:szCs w:val="14"/>
          <w:lang w:val="en-GB"/>
        </w:rPr>
        <w:t xml:space="preserve">J. Alvaro Gonzalez-Ross completed his training in trauma and orthopaedics at Dr. Victorio de la Fuente Narváez Hospital (formaly known as Magdalena de las Salinas) in Mexico city in 2017. He graduated as Chief Resident and having published his thesis in his third year of residency. He then continued his training in spine surgery in Reespalda Foundation at Puerta de Hierro Hospital in Guadalajara, with a short Observership in Schulthess Klinik. He is currently in private praxis and as </w:t>
      </w:r>
      <w:r w:rsidR="00B65AD2" w:rsidRPr="00B65AD2">
        <w:rPr>
          <w:rFonts w:ascii="Arial" w:hAnsi="Arial" w:cs="Arial"/>
          <w:sz w:val="14"/>
          <w:szCs w:val="14"/>
        </w:rPr>
        <w:t xml:space="preserve">Assistant Professor at Reespalda – Puerta de Hierro Hospital </w:t>
      </w:r>
    </w:p>
    <w:p w14:paraId="39162867" w14:textId="3469EC3D" w:rsidR="00AE3E37" w:rsidRDefault="00AE3E37">
      <w:pPr>
        <w:spacing w:before="41" w:line="154" w:lineRule="exact"/>
        <w:ind w:left="213" w:right="231"/>
        <w:jc w:val="both"/>
        <w:rPr>
          <w:rFonts w:ascii="Arial"/>
          <w:sz w:val="14"/>
        </w:rPr>
      </w:pPr>
    </w:p>
    <w:p w14:paraId="2218CD37" w14:textId="05A8A05D" w:rsidR="00AE3E37" w:rsidRDefault="00A9710C">
      <w:pPr>
        <w:spacing w:before="62"/>
        <w:ind w:left="4217" w:right="4235"/>
        <w:jc w:val="center"/>
        <w:rPr>
          <w:rFonts w:ascii="Arial"/>
          <w:sz w:val="14"/>
        </w:rPr>
      </w:pPr>
      <w:r>
        <w:rPr>
          <w:rFonts w:ascii="Arial"/>
          <w:sz w:val="14"/>
        </w:rPr>
        <w:t xml:space="preserve">Email: </w:t>
      </w:r>
      <w:hyperlink r:id="rId20" w:history="1">
        <w:r w:rsidR="00632007" w:rsidRPr="00061B50">
          <w:rPr>
            <w:rStyle w:val="Hyperlink"/>
            <w:rFonts w:ascii="Arial"/>
            <w:sz w:val="14"/>
          </w:rPr>
          <w:t>dr.gonzalez.ross@gmail.com</w:t>
        </w:r>
      </w:hyperlink>
    </w:p>
    <w:p w14:paraId="2C8569A2" w14:textId="077A5F5E" w:rsidR="00AE3E37" w:rsidRDefault="00937D89">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14:anchorId="7F857335" wp14:editId="3F930D84">
                <wp:simplePos x="0" y="0"/>
                <wp:positionH relativeFrom="page">
                  <wp:posOffset>2058670</wp:posOffset>
                </wp:positionH>
                <wp:positionV relativeFrom="paragraph">
                  <wp:posOffset>168274</wp:posOffset>
                </wp:positionV>
                <wp:extent cx="3442335" cy="0"/>
                <wp:effectExtent l="0" t="0" r="0" b="0"/>
                <wp:wrapTopAndBottom/>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ED3AB1"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" strokecolor="#004080" strokeweight=".5pt">
                <w10:wrap type="topAndBottom" anchorx="page"/>
              </v:line>
            </w:pict>
          </mc:Fallback>
        </mc:AlternateContent>
      </w:r>
    </w:p>
    <w:p w14:paraId="15323D9A" w14:textId="77777777" w:rsidR="00AE3E37" w:rsidRDefault="00AE3E37">
      <w:pPr>
        <w:pStyle w:val="BodyText"/>
        <w:rPr>
          <w:rFonts w:ascii="Arial"/>
          <w:sz w:val="20"/>
        </w:rPr>
      </w:pPr>
    </w:p>
    <w:p w14:paraId="4371F6F1" w14:textId="77777777" w:rsidR="00AE3E37" w:rsidRDefault="00AE3E37">
      <w:pPr>
        <w:pStyle w:val="BodyText"/>
        <w:rPr>
          <w:rFonts w:ascii="Arial"/>
          <w:sz w:val="20"/>
        </w:rPr>
      </w:pPr>
    </w:p>
    <w:p w14:paraId="061B45A9" w14:textId="77777777" w:rsidR="00AE3E37" w:rsidRDefault="00AE3E37">
      <w:pPr>
        <w:pStyle w:val="BodyText"/>
        <w:spacing w:before="7"/>
        <w:rPr>
          <w:rFonts w:ascii="Arial"/>
          <w:sz w:val="29"/>
        </w:rPr>
      </w:pPr>
    </w:p>
    <w:p w14:paraId="5F4C0A28"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032E8F5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3E3BF9" w14:textId="09F72D69" w:rsidR="00AE3E37" w:rsidRDefault="00AE3E37">
      <w:pPr>
        <w:pStyle w:val="BodyText"/>
        <w:spacing w:before="3"/>
        <w:rPr>
          <w:rFonts w:ascii="Minion Pro"/>
          <w:sz w:val="26"/>
        </w:rPr>
      </w:pPr>
    </w:p>
    <w:p w14:paraId="6A95DA87" w14:textId="77777777" w:rsidR="00B65AD2" w:rsidRPr="00B65AD2" w:rsidRDefault="00B65AD2">
      <w:pPr>
        <w:pStyle w:val="BodyText"/>
        <w:spacing w:before="3"/>
        <w:rPr>
          <w:rFonts w:ascii="Minion Pro"/>
          <w:sz w:val="26"/>
        </w:rPr>
      </w:pPr>
    </w:p>
    <w:sectPr w:rsidR="00B65AD2" w:rsidRPr="00B65AD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257D5" w14:textId="77777777" w:rsidR="00554C69" w:rsidRDefault="00554C69">
      <w:r>
        <w:separator/>
      </w:r>
    </w:p>
  </w:endnote>
  <w:endnote w:type="continuationSeparator" w:id="0">
    <w:p w14:paraId="30EDC631" w14:textId="77777777" w:rsidR="00554C69" w:rsidRDefault="0055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BAE9D" w14:textId="5B86F618" w:rsidR="00AE3E37" w:rsidRDefault="00937D8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DF09C32" wp14:editId="530AAC75">
              <wp:simplePos x="0" y="0"/>
              <wp:positionH relativeFrom="page">
                <wp:posOffset>444500</wp:posOffset>
              </wp:positionH>
              <wp:positionV relativeFrom="page">
                <wp:posOffset>10144760</wp:posOffset>
              </wp:positionV>
              <wp:extent cx="2136140" cy="24892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7A5117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F947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09C3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PlHUvXrAQAAvgMAAA4AAAAAAAAAAAAAAAAALgIAAGRycy9lMm9E&#10;b2MueG1sUEsBAi0AFAAGAAgAAAAhAGYLEIXhAAAADAEAAA8AAAAAAAAAAAAAAAAARQQAAGRycy9k&#10;b3ducmV2LnhtbFBLBQYAAAAABAAEAPMAAABTBQAAAAA=&#10;" filled="f" stroked="f">
              <v:textbox inset="0,0,0,0">
                <w:txbxContent>
                  <w:p w14:paraId="7A5117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F947A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9050A88" wp14:editId="6C54BD20">
              <wp:simplePos x="0" y="0"/>
              <wp:positionH relativeFrom="page">
                <wp:posOffset>3201670</wp:posOffset>
              </wp:positionH>
              <wp:positionV relativeFrom="page">
                <wp:posOffset>10147935</wp:posOffset>
              </wp:positionV>
              <wp:extent cx="1167130" cy="31686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563E4B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D0BF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50A8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563E4B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D0BF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DD46A92" wp14:editId="3C6A3D9F">
              <wp:simplePos x="0" y="0"/>
              <wp:positionH relativeFrom="page">
                <wp:posOffset>5955030</wp:posOffset>
              </wp:positionH>
              <wp:positionV relativeFrom="page">
                <wp:posOffset>10144760</wp:posOffset>
              </wp:positionV>
              <wp:extent cx="1160780" cy="3308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0E5630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9D53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46A9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0HvZ1ekBAAC9AwAADgAAAAAAAAAAAAAAAAAuAgAAZHJzL2Uyb0Rv&#10;Yy54bWxQSwECLQAUAAYACAAAACEA4y1yTuIAAAAOAQAADwAAAAAAAAAAAAAAAABDBAAAZHJzL2Rv&#10;d25yZXYueG1sUEsFBgAAAAAEAAQA8wAAAFIFAAAAAA==&#10;" filled="f" stroked="f">
              <v:textbox inset="0,0,0,0">
                <w:txbxContent>
                  <w:p w14:paraId="0E5630D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9D53F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80C23" w14:textId="77777777" w:rsidR="00554C69" w:rsidRDefault="00554C69">
      <w:r>
        <w:separator/>
      </w:r>
    </w:p>
  </w:footnote>
  <w:footnote w:type="continuationSeparator" w:id="0">
    <w:p w14:paraId="00A34CB9" w14:textId="77777777" w:rsidR="00554C69" w:rsidRDefault="00554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6449" w14:textId="26523F04" w:rsidR="00AE3E37" w:rsidRDefault="00937D8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57BF5E0" wp14:editId="10F872A1">
              <wp:simplePos x="0" y="0"/>
              <wp:positionH relativeFrom="page">
                <wp:posOffset>5283200</wp:posOffset>
              </wp:positionH>
              <wp:positionV relativeFrom="page">
                <wp:posOffset>330835</wp:posOffset>
              </wp:positionV>
              <wp:extent cx="1832610" cy="220980"/>
              <wp:effectExtent l="0" t="0" r="0" b="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60FC05D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BF5E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I2x0d6AEAALcDAAAOAAAAAAAAAAAAAAAAAC4CAABkcnMvZTJvRG9jLnht&#10;bFBLAQItABQABgAIAAAAIQDYaCrE3wAAAAoBAAAPAAAAAAAAAAAAAAAAAEIEAABkcnMvZG93bnJl&#10;di54bWxQSwUGAAAAAAQABADzAAAATgUAAAAA&#10;" filled="f" stroked="f">
              <v:textbox inset="0,0,0,0">
                <w:txbxContent>
                  <w:p w14:paraId="60FC05D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B351354" wp14:editId="090FEC98">
              <wp:simplePos x="0" y="0"/>
              <wp:positionH relativeFrom="page">
                <wp:posOffset>444500</wp:posOffset>
              </wp:positionH>
              <wp:positionV relativeFrom="page">
                <wp:posOffset>613410</wp:posOffset>
              </wp:positionV>
              <wp:extent cx="6552565" cy="509270"/>
              <wp:effectExtent l="0" t="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7FD70F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88AD3B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5135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G96RdjrAQAAvgMAAA4AAAAAAAAAAAAAAAAALgIAAGRycy9lMm9Eb2Mu&#10;eG1sUEsBAi0AFAAGAAgAAAAhAL2RQBbeAAAACgEAAA8AAAAAAAAAAAAAAAAARQQAAGRycy9kb3du&#10;cmV2LnhtbFBLBQYAAAAABAAEAPMAAABQBQAAAAA=&#10;" filled="f" stroked="f">
              <v:textbox inset="0,0,0,0">
                <w:txbxContent>
                  <w:p w14:paraId="7FD70F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88AD3B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7183A"/>
    <w:rsid w:val="003B76D9"/>
    <w:rsid w:val="00404E5B"/>
    <w:rsid w:val="00414F7B"/>
    <w:rsid w:val="004355DC"/>
    <w:rsid w:val="00445842"/>
    <w:rsid w:val="004749B4"/>
    <w:rsid w:val="0048190D"/>
    <w:rsid w:val="00494130"/>
    <w:rsid w:val="004F3523"/>
    <w:rsid w:val="00554C69"/>
    <w:rsid w:val="005973B9"/>
    <w:rsid w:val="005B3A56"/>
    <w:rsid w:val="005C36D7"/>
    <w:rsid w:val="006060CE"/>
    <w:rsid w:val="00632007"/>
    <w:rsid w:val="0063497F"/>
    <w:rsid w:val="0078738A"/>
    <w:rsid w:val="00873DF0"/>
    <w:rsid w:val="008756E6"/>
    <w:rsid w:val="00937D89"/>
    <w:rsid w:val="009B2D44"/>
    <w:rsid w:val="00A07E82"/>
    <w:rsid w:val="00A9710C"/>
    <w:rsid w:val="00AE3E37"/>
    <w:rsid w:val="00B21A57"/>
    <w:rsid w:val="00B65AD2"/>
    <w:rsid w:val="00C33602"/>
    <w:rsid w:val="00CD6F55"/>
    <w:rsid w:val="00D62425"/>
    <w:rsid w:val="00DE3104"/>
    <w:rsid w:val="00F330E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8E291"/>
  <w15:docId w15:val="{42D0D6CD-55AB-4674-9C52-3FDD195F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5AD2"/>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F330E2"/>
    <w:pPr>
      <w:widowControl/>
    </w:pPr>
    <w:rPr>
      <w:rFonts w:ascii="Calibri" w:eastAsia="Calibri" w:hAnsi="Calibri" w:cs="Calibri"/>
      <w:color w:val="000000"/>
      <w:lang w:val="es-MX" w:eastAsia="es-MX"/>
    </w:rPr>
  </w:style>
  <w:style w:type="character" w:customStyle="1" w:styleId="apple-converted-space">
    <w:name w:val="apple-converted-space"/>
    <w:basedOn w:val="DefaultParagraphFont"/>
    <w:rsid w:val="00F330E2"/>
  </w:style>
  <w:style w:type="character" w:customStyle="1" w:styleId="dropdown">
    <w:name w:val="dropdown"/>
    <w:basedOn w:val="DefaultParagraphFont"/>
    <w:rsid w:val="00F330E2"/>
  </w:style>
  <w:style w:type="character" w:styleId="UnresolvedMention">
    <w:name w:val="Unresolved Mention"/>
    <w:basedOn w:val="DefaultParagraphFont"/>
    <w:uiPriority w:val="99"/>
    <w:semiHidden/>
    <w:unhideWhenUsed/>
    <w:rsid w:val="00632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sianspinejournal.org/articles/search_result.php?term=author&amp;f_name=Jos%C3%A9%20Manuel%20P%C3%A9rez&amp;l_name=Atanasio"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asianspinejournal.org/articles/search_result.php?term=author&amp;f_name=Jorge%20%C3%81lvaro%20Gonz%C3%A1lez&amp;l_name=Ross" TargetMode="External"/><Relationship Id="rId17" Type="http://schemas.openxmlformats.org/officeDocument/2006/relationships/hyperlink" Target="https://doi.org/10.31616/asj.2018.12.4.648" TargetMode="External"/><Relationship Id="rId2" Type="http://schemas.openxmlformats.org/officeDocument/2006/relationships/styles" Target="styles.xml"/><Relationship Id="rId16" Type="http://schemas.openxmlformats.org/officeDocument/2006/relationships/hyperlink" Target="https://www.asianspinejournal.org/articles/search_result.php?term=author&amp;f_name=Jose%20Jimenez&amp;l_name=Avila" TargetMode="External"/><Relationship Id="rId20" Type="http://schemas.openxmlformats.org/officeDocument/2006/relationships/hyperlink" Target="mailto:dr.gonzalez.ross@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ianspinejournal.org/articles/search_result.php?term=author&amp;f_name=Jorge%20Arturo%20Cabrera&amp;l_name=Escamilla" TargetMode="External"/><Relationship Id="rId5" Type="http://schemas.openxmlformats.org/officeDocument/2006/relationships/footnotes" Target="footnotes.xml"/><Relationship Id="rId15" Type="http://schemas.openxmlformats.org/officeDocument/2006/relationships/hyperlink" Target="https://www.asianspinejournal.org/articles/search_result.php?term=author&amp;f_name=Arelhi%20Gonz%C3%A1lez&amp;l_name=Cisneros" TargetMode="External"/><Relationship Id="rId10" Type="http://schemas.openxmlformats.org/officeDocument/2006/relationships/hyperlink" Target="https://dx.doi.org/10.1590/S1808-185120161501154501"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asianspinejournal.org/articles/search_result.php?term=author&amp;f_name=Gustavo%20Casas&amp;l_name=Mart%C3%ADnez"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J. Álvaro González Ross</cp:lastModifiedBy>
  <cp:revision>2</cp:revision>
  <dcterms:created xsi:type="dcterms:W3CDTF">2021-07-15T17:58:00Z</dcterms:created>
  <dcterms:modified xsi:type="dcterms:W3CDTF">2021-07-15T17:58:00Z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