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7505" w:rsidRPr="002B0E53" w:rsidRDefault="00357505">
      <w:pPr>
        <w:rPr>
          <w:rFonts w:ascii="Times New Roman" w:hAnsi="Times New Roman" w:cs="Times New Roman"/>
          <w:szCs w:val="20"/>
        </w:rPr>
      </w:pPr>
      <w:r w:rsidRPr="002B0E53">
        <w:rPr>
          <w:rFonts w:ascii="Times New Roman" w:hAnsi="Times New Roman" w:cs="Times New Roman"/>
          <w:szCs w:val="20"/>
        </w:rPr>
        <w:t>Outcome of Percutaneous Pedicle screw fixation for</w:t>
      </w:r>
      <w:r w:rsidR="00017AAD" w:rsidRPr="002B0E53">
        <w:rPr>
          <w:rFonts w:ascii="Times New Roman" w:hAnsi="Times New Roman" w:cs="Times New Roman"/>
          <w:szCs w:val="20"/>
        </w:rPr>
        <w:t xml:space="preserve"> traumatic thoracolumbar fractures –si</w:t>
      </w:r>
      <w:r w:rsidRPr="002B0E53">
        <w:rPr>
          <w:rFonts w:ascii="Times New Roman" w:hAnsi="Times New Roman" w:cs="Times New Roman"/>
          <w:szCs w:val="20"/>
        </w:rPr>
        <w:t>x year experience</w:t>
      </w:r>
    </w:p>
    <w:p w:rsidR="00D06131" w:rsidRPr="002B0E53" w:rsidRDefault="00017AAD">
      <w:pPr>
        <w:rPr>
          <w:rFonts w:ascii="Times New Roman" w:hAnsi="Times New Roman" w:cs="Times New Roman"/>
          <w:szCs w:val="20"/>
        </w:rPr>
      </w:pPr>
      <w:r w:rsidRPr="002B0E53">
        <w:rPr>
          <w:rFonts w:ascii="Times New Roman" w:hAnsi="Times New Roman" w:cs="Times New Roman"/>
          <w:szCs w:val="20"/>
        </w:rPr>
        <w:t>S. M. Hashmi,</w:t>
      </w:r>
      <w:r w:rsidR="00357505" w:rsidRPr="002B0E53">
        <w:rPr>
          <w:rFonts w:ascii="Times New Roman" w:hAnsi="Times New Roman" w:cs="Times New Roman"/>
          <w:szCs w:val="20"/>
        </w:rPr>
        <w:t xml:space="preserve"> </w:t>
      </w:r>
      <w:r w:rsidR="00D06131" w:rsidRPr="002B0E53">
        <w:rPr>
          <w:rFonts w:ascii="Times New Roman" w:hAnsi="Times New Roman" w:cs="Times New Roman"/>
          <w:szCs w:val="20"/>
        </w:rPr>
        <w:t>P Kumar,</w:t>
      </w:r>
      <w:r w:rsidR="00A25D15" w:rsidRPr="00A25D15">
        <w:rPr>
          <w:rFonts w:ascii="Times New Roman" w:hAnsi="Times New Roman" w:cs="Times New Roman"/>
          <w:szCs w:val="20"/>
        </w:rPr>
        <w:t xml:space="preserve"> </w:t>
      </w:r>
      <w:r w:rsidR="00A25D15" w:rsidRPr="002B0E53">
        <w:rPr>
          <w:rFonts w:ascii="Times New Roman" w:hAnsi="Times New Roman" w:cs="Times New Roman"/>
          <w:szCs w:val="20"/>
        </w:rPr>
        <w:t>J Eccles</w:t>
      </w:r>
      <w:r w:rsidR="00A25D15">
        <w:rPr>
          <w:rFonts w:ascii="Times New Roman" w:hAnsi="Times New Roman" w:cs="Times New Roman"/>
          <w:szCs w:val="20"/>
        </w:rPr>
        <w:t>,</w:t>
      </w:r>
      <w:r w:rsidR="00D06131" w:rsidRPr="002B0E53">
        <w:rPr>
          <w:rFonts w:ascii="Times New Roman" w:hAnsi="Times New Roman" w:cs="Times New Roman"/>
          <w:szCs w:val="20"/>
        </w:rPr>
        <w:t xml:space="preserve"> </w:t>
      </w:r>
      <w:r w:rsidR="00357505" w:rsidRPr="002B0E53">
        <w:rPr>
          <w:rFonts w:ascii="Times New Roman" w:hAnsi="Times New Roman" w:cs="Times New Roman"/>
          <w:szCs w:val="20"/>
        </w:rPr>
        <w:t>M. N. Ansar,</w:t>
      </w:r>
      <w:r w:rsidR="00723C2E">
        <w:rPr>
          <w:rFonts w:ascii="Times New Roman" w:hAnsi="Times New Roman" w:cs="Times New Roman"/>
          <w:szCs w:val="20"/>
        </w:rPr>
        <w:t xml:space="preserve"> </w:t>
      </w:r>
      <w:r w:rsidRPr="002B0E53">
        <w:rPr>
          <w:rFonts w:ascii="Times New Roman" w:hAnsi="Times New Roman" w:cs="Times New Roman"/>
          <w:szCs w:val="20"/>
        </w:rPr>
        <w:t>A. Ray, K. Ghosh and A. Golash</w:t>
      </w:r>
      <w:r w:rsidR="00357505" w:rsidRPr="002B0E53">
        <w:rPr>
          <w:rFonts w:ascii="Times New Roman" w:hAnsi="Times New Roman" w:cs="Times New Roman"/>
          <w:szCs w:val="20"/>
        </w:rPr>
        <w:t xml:space="preserve">, </w:t>
      </w:r>
      <w:r w:rsidRPr="002B0E53">
        <w:rPr>
          <w:rFonts w:ascii="Times New Roman" w:hAnsi="Times New Roman" w:cs="Times New Roman"/>
          <w:szCs w:val="20"/>
        </w:rPr>
        <w:t xml:space="preserve"> </w:t>
      </w:r>
    </w:p>
    <w:p w:rsidR="00017AAD" w:rsidRPr="002B0E53" w:rsidRDefault="00D06131">
      <w:pPr>
        <w:rPr>
          <w:rFonts w:ascii="Times New Roman" w:hAnsi="Times New Roman" w:cs="Times New Roman"/>
          <w:szCs w:val="20"/>
        </w:rPr>
      </w:pPr>
      <w:r w:rsidRPr="002B0E53">
        <w:rPr>
          <w:rFonts w:ascii="Times New Roman" w:hAnsi="Times New Roman" w:cs="Times New Roman"/>
          <w:szCs w:val="20"/>
        </w:rPr>
        <w:t>Department of Neurosurgery</w:t>
      </w:r>
      <w:r w:rsidR="00285449" w:rsidRPr="002B0E53">
        <w:rPr>
          <w:rFonts w:ascii="Times New Roman" w:hAnsi="Times New Roman" w:cs="Times New Roman"/>
          <w:szCs w:val="20"/>
        </w:rPr>
        <w:t>, Royal</w:t>
      </w:r>
      <w:r w:rsidR="00017AAD" w:rsidRPr="002B0E53">
        <w:rPr>
          <w:rFonts w:ascii="Times New Roman" w:hAnsi="Times New Roman" w:cs="Times New Roman"/>
          <w:szCs w:val="20"/>
        </w:rPr>
        <w:t xml:space="preserve"> Preston Hospital, Preston, UK</w:t>
      </w:r>
    </w:p>
    <w:p w:rsidR="00357505" w:rsidRPr="002B0E53" w:rsidRDefault="00017AAD" w:rsidP="00E878FA">
      <w:pPr>
        <w:spacing w:after="0" w:line="240" w:lineRule="auto"/>
        <w:jc w:val="both"/>
        <w:rPr>
          <w:rFonts w:ascii="Times New Roman" w:hAnsi="Times New Roman" w:cs="Times New Roman"/>
          <w:color w:val="000000" w:themeColor="text1"/>
          <w:szCs w:val="20"/>
        </w:rPr>
      </w:pPr>
      <w:r w:rsidRPr="002B0E53">
        <w:rPr>
          <w:rFonts w:ascii="Times New Roman" w:hAnsi="Times New Roman" w:cs="Times New Roman"/>
          <w:szCs w:val="20"/>
        </w:rPr>
        <w:t xml:space="preserve">Objectives: This presentation discusses the experience at our Centre with treating traumatic thoracolumbar fractures using </w:t>
      </w:r>
      <w:r w:rsidR="00D06131" w:rsidRPr="002B0E53">
        <w:rPr>
          <w:rFonts w:ascii="Times New Roman" w:hAnsi="Times New Roman" w:cs="Times New Roman"/>
          <w:szCs w:val="20"/>
        </w:rPr>
        <w:t xml:space="preserve">percutaneous pedicle screw fixation </w:t>
      </w:r>
      <w:r w:rsidRPr="002B0E53">
        <w:rPr>
          <w:rFonts w:ascii="Times New Roman" w:hAnsi="Times New Roman" w:cs="Times New Roman"/>
          <w:szCs w:val="20"/>
        </w:rPr>
        <w:t xml:space="preserve">and also looks at </w:t>
      </w:r>
      <w:r w:rsidR="00D06131" w:rsidRPr="002B0E53">
        <w:rPr>
          <w:rFonts w:ascii="Times New Roman" w:hAnsi="Times New Roman" w:cs="Times New Roman"/>
          <w:szCs w:val="20"/>
        </w:rPr>
        <w:t>clinical and radiological o</w:t>
      </w:r>
      <w:r w:rsidRPr="002B0E53">
        <w:rPr>
          <w:rFonts w:ascii="Times New Roman" w:hAnsi="Times New Roman" w:cs="Times New Roman"/>
          <w:szCs w:val="20"/>
        </w:rPr>
        <w:t>utcome</w:t>
      </w:r>
      <w:r w:rsidR="00D06131" w:rsidRPr="002B0E53">
        <w:rPr>
          <w:rFonts w:ascii="Times New Roman" w:hAnsi="Times New Roman" w:cs="Times New Roman"/>
          <w:szCs w:val="20"/>
        </w:rPr>
        <w:t>s as well as complications</w:t>
      </w:r>
      <w:r w:rsidR="00E878FA">
        <w:rPr>
          <w:rFonts w:ascii="Times New Roman" w:hAnsi="Times New Roman" w:cs="Times New Roman"/>
          <w:szCs w:val="20"/>
        </w:rPr>
        <w:t>.</w:t>
      </w:r>
    </w:p>
    <w:p w:rsidR="00E878FA" w:rsidRDefault="00017AAD" w:rsidP="00E878FA">
      <w:pPr>
        <w:spacing w:line="240" w:lineRule="auto"/>
        <w:rPr>
          <w:rFonts w:ascii="Times New Roman" w:hAnsi="Times New Roman" w:cs="Times New Roman"/>
          <w:szCs w:val="20"/>
        </w:rPr>
      </w:pPr>
      <w:r w:rsidRPr="002B0E53">
        <w:rPr>
          <w:rFonts w:ascii="Times New Roman" w:hAnsi="Times New Roman" w:cs="Times New Roman"/>
          <w:szCs w:val="20"/>
        </w:rPr>
        <w:t xml:space="preserve">Design: This is a retrospective study reviewing all cases performed between </w:t>
      </w:r>
      <w:r w:rsidR="00D06131" w:rsidRPr="002B0E53">
        <w:rPr>
          <w:rFonts w:ascii="Times New Roman" w:hAnsi="Times New Roman" w:cs="Times New Roman"/>
          <w:szCs w:val="20"/>
        </w:rPr>
        <w:t>Jan</w:t>
      </w:r>
      <w:r w:rsidRPr="002B0E53">
        <w:rPr>
          <w:rFonts w:ascii="Times New Roman" w:hAnsi="Times New Roman" w:cs="Times New Roman"/>
          <w:szCs w:val="20"/>
        </w:rPr>
        <w:t xml:space="preserve"> 2013 and </w:t>
      </w:r>
      <w:r w:rsidR="00D06131" w:rsidRPr="002B0E53">
        <w:rPr>
          <w:rFonts w:ascii="Times New Roman" w:hAnsi="Times New Roman" w:cs="Times New Roman"/>
          <w:szCs w:val="20"/>
        </w:rPr>
        <w:t>June 2019</w:t>
      </w:r>
    </w:p>
    <w:p w:rsidR="00017AAD" w:rsidRPr="002B0E53" w:rsidRDefault="00017AAD" w:rsidP="00E878FA">
      <w:pPr>
        <w:spacing w:line="240" w:lineRule="auto"/>
        <w:rPr>
          <w:rFonts w:ascii="Times New Roman" w:hAnsi="Times New Roman" w:cs="Times New Roman"/>
          <w:szCs w:val="20"/>
        </w:rPr>
      </w:pPr>
      <w:r w:rsidRPr="002B0E53">
        <w:rPr>
          <w:rFonts w:ascii="Times New Roman" w:hAnsi="Times New Roman" w:cs="Times New Roman"/>
          <w:szCs w:val="20"/>
        </w:rPr>
        <w:t xml:space="preserve">Subjects: In our study there were </w:t>
      </w:r>
      <w:r w:rsidR="0077326A" w:rsidRPr="002B0E53">
        <w:rPr>
          <w:rFonts w:ascii="Times New Roman" w:hAnsi="Times New Roman" w:cs="Times New Roman"/>
          <w:szCs w:val="20"/>
        </w:rPr>
        <w:t>257</w:t>
      </w:r>
      <w:r w:rsidRPr="002B0E53">
        <w:rPr>
          <w:rFonts w:ascii="Times New Roman" w:hAnsi="Times New Roman" w:cs="Times New Roman"/>
          <w:szCs w:val="20"/>
        </w:rPr>
        <w:t xml:space="preserve"> patients in total, of which there were </w:t>
      </w:r>
      <w:r w:rsidR="0077326A" w:rsidRPr="002B0E53">
        <w:rPr>
          <w:rFonts w:ascii="Times New Roman" w:hAnsi="Times New Roman" w:cs="Times New Roman"/>
          <w:szCs w:val="20"/>
        </w:rPr>
        <w:t>123</w:t>
      </w:r>
      <w:r w:rsidRPr="002B0E53">
        <w:rPr>
          <w:rFonts w:ascii="Times New Roman" w:hAnsi="Times New Roman" w:cs="Times New Roman"/>
          <w:szCs w:val="20"/>
        </w:rPr>
        <w:t xml:space="preserve"> males and </w:t>
      </w:r>
      <w:r w:rsidR="0077326A" w:rsidRPr="002B0E53">
        <w:rPr>
          <w:rFonts w:ascii="Times New Roman" w:hAnsi="Times New Roman" w:cs="Times New Roman"/>
          <w:szCs w:val="20"/>
        </w:rPr>
        <w:t>134</w:t>
      </w:r>
      <w:r w:rsidRPr="002B0E53">
        <w:rPr>
          <w:rFonts w:ascii="Times New Roman" w:hAnsi="Times New Roman" w:cs="Times New Roman"/>
          <w:szCs w:val="20"/>
        </w:rPr>
        <w:t xml:space="preserve"> </w:t>
      </w:r>
      <w:r w:rsidR="00A25D15" w:rsidRPr="002B0E53">
        <w:rPr>
          <w:rFonts w:ascii="Times New Roman" w:hAnsi="Times New Roman" w:cs="Times New Roman"/>
          <w:szCs w:val="20"/>
        </w:rPr>
        <w:t>females,</w:t>
      </w:r>
      <w:r w:rsidRPr="002B0E53">
        <w:rPr>
          <w:rFonts w:ascii="Times New Roman" w:hAnsi="Times New Roman" w:cs="Times New Roman"/>
          <w:szCs w:val="20"/>
        </w:rPr>
        <w:t xml:space="preserve"> aged between 17 and </w:t>
      </w:r>
      <w:r w:rsidR="00E878FA">
        <w:rPr>
          <w:rFonts w:ascii="Times New Roman" w:hAnsi="Times New Roman" w:cs="Times New Roman"/>
          <w:szCs w:val="20"/>
        </w:rPr>
        <w:t>70</w:t>
      </w:r>
      <w:bookmarkStart w:id="0" w:name="_GoBack"/>
      <w:bookmarkEnd w:id="0"/>
    </w:p>
    <w:p w:rsidR="00017AAD" w:rsidRPr="002B0E53" w:rsidRDefault="00017AAD" w:rsidP="00E878FA">
      <w:pPr>
        <w:spacing w:line="240" w:lineRule="auto"/>
        <w:rPr>
          <w:rFonts w:ascii="Times New Roman" w:hAnsi="Times New Roman" w:cs="Times New Roman"/>
          <w:szCs w:val="20"/>
        </w:rPr>
      </w:pPr>
      <w:r w:rsidRPr="002B0E53">
        <w:rPr>
          <w:rFonts w:ascii="Times New Roman" w:hAnsi="Times New Roman" w:cs="Times New Roman"/>
          <w:szCs w:val="20"/>
        </w:rPr>
        <w:t>Methods: We reviewed the case notes and imaging to obtain the relevant data.</w:t>
      </w:r>
    </w:p>
    <w:p w:rsidR="00D06131" w:rsidRPr="002B0E53" w:rsidRDefault="00017AAD" w:rsidP="00E878FA">
      <w:pPr>
        <w:spacing w:line="240" w:lineRule="auto"/>
        <w:rPr>
          <w:rFonts w:ascii="Times New Roman" w:hAnsi="Times New Roman" w:cs="Times New Roman"/>
          <w:szCs w:val="20"/>
        </w:rPr>
      </w:pPr>
      <w:r w:rsidRPr="002B0E53">
        <w:rPr>
          <w:rFonts w:ascii="Times New Roman" w:hAnsi="Times New Roman" w:cs="Times New Roman"/>
          <w:szCs w:val="20"/>
        </w:rPr>
        <w:t xml:space="preserve">Results: </w:t>
      </w:r>
    </w:p>
    <w:p w:rsidR="00D06131" w:rsidRPr="002B0E53" w:rsidRDefault="00D06131" w:rsidP="00E878FA">
      <w:pPr>
        <w:autoSpaceDE w:val="0"/>
        <w:autoSpaceDN w:val="0"/>
        <w:adjustRightInd w:val="0"/>
        <w:spacing w:after="0" w:line="240" w:lineRule="auto"/>
        <w:jc w:val="both"/>
        <w:rPr>
          <w:rFonts w:ascii="Times New Roman" w:hAnsi="Times New Roman" w:cs="Times New Roman"/>
          <w:color w:val="000000" w:themeColor="text1"/>
          <w:szCs w:val="20"/>
        </w:rPr>
      </w:pPr>
      <w:r w:rsidRPr="002B0E53">
        <w:rPr>
          <w:rFonts w:ascii="Times New Roman" w:hAnsi="Times New Roman" w:cs="Times New Roman"/>
          <w:color w:val="000000" w:themeColor="text1"/>
          <w:szCs w:val="20"/>
        </w:rPr>
        <w:t>A total of 257 patients were included, 123 males and 134 females; the mean age was 4</w:t>
      </w:r>
      <w:r w:rsidR="0077326A" w:rsidRPr="002B0E53">
        <w:rPr>
          <w:rFonts w:ascii="Times New Roman" w:hAnsi="Times New Roman" w:cs="Times New Roman"/>
          <w:color w:val="000000" w:themeColor="text1"/>
          <w:szCs w:val="20"/>
        </w:rPr>
        <w:t>7.6</w:t>
      </w:r>
      <w:r w:rsidRPr="002B0E53">
        <w:rPr>
          <w:rFonts w:ascii="Times New Roman" w:hAnsi="Times New Roman" w:cs="Times New Roman"/>
          <w:color w:val="000000" w:themeColor="text1"/>
          <w:szCs w:val="20"/>
        </w:rPr>
        <w:t xml:space="preserve"> years. The </w:t>
      </w:r>
      <w:r w:rsidRPr="002B0E53">
        <w:rPr>
          <w:rFonts w:ascii="Times New Roman" w:eastAsia="Calibri" w:hAnsi="Times New Roman" w:cs="Times New Roman"/>
          <w:color w:val="000000" w:themeColor="text1"/>
          <w:szCs w:val="20"/>
        </w:rPr>
        <w:t xml:space="preserve">majority of injuries were </w:t>
      </w:r>
      <w:r w:rsidR="0077326A" w:rsidRPr="002B0E53">
        <w:rPr>
          <w:rFonts w:ascii="Times New Roman" w:eastAsia="Calibri" w:hAnsi="Times New Roman" w:cs="Times New Roman"/>
          <w:color w:val="000000" w:themeColor="text1"/>
          <w:szCs w:val="20"/>
        </w:rPr>
        <w:t>from fall from significant height</w:t>
      </w:r>
      <w:r w:rsidRPr="002B0E53">
        <w:rPr>
          <w:rFonts w:ascii="Times New Roman" w:eastAsia="Calibri" w:hAnsi="Times New Roman" w:cs="Times New Roman"/>
          <w:color w:val="000000" w:themeColor="text1"/>
          <w:szCs w:val="20"/>
        </w:rPr>
        <w:t>.</w:t>
      </w:r>
      <w:r w:rsidRPr="002B0E53">
        <w:rPr>
          <w:rFonts w:ascii="Times New Roman" w:hAnsi="Times New Roman" w:cs="Times New Roman"/>
          <w:color w:val="000000" w:themeColor="text1"/>
          <w:szCs w:val="20"/>
        </w:rPr>
        <w:t xml:space="preserve"> In 98 cases the fracture involved a thoracic vertebra and in 159 cases a lumbar vertebra.</w:t>
      </w:r>
      <w:r w:rsidR="007553D8" w:rsidRPr="002B0E53">
        <w:rPr>
          <w:rFonts w:ascii="Times New Roman" w:hAnsi="Times New Roman" w:cs="Times New Roman"/>
          <w:szCs w:val="20"/>
        </w:rPr>
        <w:t xml:space="preserve"> Percutaneous pedicle screw fixation</w:t>
      </w:r>
      <w:r w:rsidR="007553D8" w:rsidRPr="002B0E53">
        <w:rPr>
          <w:rFonts w:ascii="Times New Roman" w:hAnsi="Times New Roman" w:cs="Times New Roman"/>
          <w:color w:val="000000" w:themeColor="text1"/>
          <w:szCs w:val="20"/>
        </w:rPr>
        <w:t xml:space="preserve"> was performed either one level above and below fracture or Two levels above and below the fracture depending upon the level of injury. Forty two cases were treated with additional short pedicle screws at the level of fracture.</w:t>
      </w:r>
      <w:r w:rsidRPr="002B0E53">
        <w:rPr>
          <w:rFonts w:ascii="Times New Roman" w:hAnsi="Times New Roman" w:cs="Times New Roman"/>
          <w:color w:val="000000" w:themeColor="text1"/>
          <w:szCs w:val="20"/>
        </w:rPr>
        <w:t xml:space="preserve"> More than 15%</w:t>
      </w:r>
      <w:r w:rsidR="0077326A" w:rsidRPr="002B0E53">
        <w:rPr>
          <w:rFonts w:ascii="Times New Roman" w:hAnsi="Times New Roman" w:cs="Times New Roman"/>
          <w:color w:val="000000" w:themeColor="text1"/>
          <w:szCs w:val="20"/>
        </w:rPr>
        <w:t xml:space="preserve"> </w:t>
      </w:r>
      <w:r w:rsidRPr="002B0E53">
        <w:rPr>
          <w:rFonts w:ascii="Times New Roman" w:hAnsi="Times New Roman" w:cs="Times New Roman"/>
          <w:color w:val="000000" w:themeColor="text1"/>
          <w:szCs w:val="20"/>
        </w:rPr>
        <w:t xml:space="preserve">(39) of patients presented with a neurological deficit on admission and </w:t>
      </w:r>
      <w:r w:rsidR="0077326A" w:rsidRPr="002B0E53">
        <w:rPr>
          <w:rFonts w:ascii="Times New Roman" w:hAnsi="Times New Roman" w:cs="Times New Roman"/>
          <w:color w:val="000000" w:themeColor="text1"/>
          <w:szCs w:val="20"/>
        </w:rPr>
        <w:t>more than 80</w:t>
      </w:r>
      <w:r w:rsidRPr="002B0E53">
        <w:rPr>
          <w:rFonts w:ascii="Times New Roman" w:hAnsi="Times New Roman" w:cs="Times New Roman"/>
          <w:color w:val="000000" w:themeColor="text1"/>
          <w:szCs w:val="20"/>
        </w:rPr>
        <w:t>%</w:t>
      </w:r>
      <w:r w:rsidR="0077326A" w:rsidRPr="002B0E53">
        <w:rPr>
          <w:rFonts w:ascii="Times New Roman" w:hAnsi="Times New Roman" w:cs="Times New Roman"/>
          <w:color w:val="000000" w:themeColor="text1"/>
          <w:szCs w:val="20"/>
        </w:rPr>
        <w:t xml:space="preserve"> (32)</w:t>
      </w:r>
      <w:r w:rsidRPr="002B0E53">
        <w:rPr>
          <w:rFonts w:ascii="Times New Roman" w:hAnsi="Times New Roman" w:cs="Times New Roman"/>
          <w:color w:val="000000" w:themeColor="text1"/>
          <w:szCs w:val="20"/>
        </w:rPr>
        <w:t xml:space="preserve"> of those showed post-operative improvement in their neurology</w:t>
      </w:r>
      <w:r w:rsidR="000F5E43" w:rsidRPr="002B0E53">
        <w:rPr>
          <w:rFonts w:ascii="Times New Roman" w:hAnsi="Times New Roman" w:cs="Times New Roman"/>
          <w:color w:val="000000" w:themeColor="text1"/>
          <w:szCs w:val="20"/>
        </w:rPr>
        <w:t xml:space="preserve"> as per Frankel Grading system</w:t>
      </w:r>
      <w:r w:rsidRPr="002B0E53">
        <w:rPr>
          <w:rFonts w:ascii="Times New Roman" w:hAnsi="Times New Roman" w:cs="Times New Roman"/>
          <w:color w:val="000000" w:themeColor="text1"/>
          <w:szCs w:val="20"/>
        </w:rPr>
        <w:t xml:space="preserve">. The </w:t>
      </w:r>
      <w:r w:rsidR="00AE1ACC" w:rsidRPr="002B0E53">
        <w:rPr>
          <w:rFonts w:ascii="Times New Roman" w:hAnsi="Times New Roman" w:cs="Times New Roman"/>
          <w:color w:val="000000" w:themeColor="text1"/>
          <w:szCs w:val="20"/>
        </w:rPr>
        <w:t xml:space="preserve">mean </w:t>
      </w:r>
      <w:r w:rsidR="0077326A" w:rsidRPr="002B0E53">
        <w:rPr>
          <w:rFonts w:ascii="Times New Roman" w:hAnsi="Times New Roman" w:cs="Times New Roman"/>
          <w:color w:val="000000" w:themeColor="text1"/>
          <w:szCs w:val="20"/>
        </w:rPr>
        <w:t>Operative time</w:t>
      </w:r>
      <w:r w:rsidR="00AE1ACC" w:rsidRPr="002B0E53">
        <w:rPr>
          <w:rFonts w:ascii="Times New Roman" w:hAnsi="Times New Roman" w:cs="Times New Roman"/>
          <w:color w:val="000000" w:themeColor="text1"/>
          <w:szCs w:val="20"/>
        </w:rPr>
        <w:t xml:space="preserve"> was 117minutes +- 45, </w:t>
      </w:r>
      <w:r w:rsidR="007553D8" w:rsidRPr="002B0E53">
        <w:rPr>
          <w:rFonts w:ascii="Times New Roman" w:hAnsi="Times New Roman" w:cs="Times New Roman"/>
          <w:color w:val="000000" w:themeColor="text1"/>
          <w:szCs w:val="20"/>
        </w:rPr>
        <w:t xml:space="preserve">and </w:t>
      </w:r>
      <w:r w:rsidR="00AE1ACC" w:rsidRPr="002B0E53">
        <w:rPr>
          <w:rFonts w:ascii="Times New Roman" w:hAnsi="Times New Roman" w:cs="Times New Roman"/>
          <w:color w:val="000000" w:themeColor="text1"/>
          <w:szCs w:val="20"/>
        </w:rPr>
        <w:t>mean</w:t>
      </w:r>
      <w:r w:rsidRPr="002B0E53">
        <w:rPr>
          <w:rFonts w:ascii="Times New Roman" w:hAnsi="Times New Roman" w:cs="Times New Roman"/>
          <w:color w:val="000000" w:themeColor="text1"/>
          <w:szCs w:val="20"/>
        </w:rPr>
        <w:t xml:space="preserve"> length of hospital stay </w:t>
      </w:r>
      <w:proofErr w:type="gramStart"/>
      <w:r w:rsidRPr="002B0E53">
        <w:rPr>
          <w:rFonts w:ascii="Times New Roman" w:hAnsi="Times New Roman" w:cs="Times New Roman"/>
          <w:color w:val="000000" w:themeColor="text1"/>
          <w:szCs w:val="20"/>
        </w:rPr>
        <w:t>was</w:t>
      </w:r>
      <w:proofErr w:type="gramEnd"/>
      <w:r w:rsidRPr="002B0E53">
        <w:rPr>
          <w:rFonts w:ascii="Times New Roman" w:hAnsi="Times New Roman" w:cs="Times New Roman"/>
          <w:color w:val="000000" w:themeColor="text1"/>
          <w:szCs w:val="20"/>
        </w:rPr>
        <w:t xml:space="preserve"> </w:t>
      </w:r>
      <w:r w:rsidR="00AE1ACC" w:rsidRPr="002B0E53">
        <w:rPr>
          <w:rFonts w:ascii="Times New Roman" w:hAnsi="Times New Roman" w:cs="Times New Roman"/>
          <w:color w:val="000000" w:themeColor="text1"/>
          <w:szCs w:val="20"/>
        </w:rPr>
        <w:t>7.2 +- 3.8</w:t>
      </w:r>
      <w:r w:rsidRPr="002B0E53">
        <w:rPr>
          <w:rFonts w:ascii="Times New Roman" w:hAnsi="Times New Roman" w:cs="Times New Roman"/>
          <w:color w:val="000000" w:themeColor="text1"/>
          <w:szCs w:val="20"/>
        </w:rPr>
        <w:t xml:space="preserve"> days</w:t>
      </w:r>
      <w:r w:rsidR="00AE1ACC" w:rsidRPr="002B0E53">
        <w:rPr>
          <w:rFonts w:ascii="Times New Roman" w:hAnsi="Times New Roman" w:cs="Times New Roman"/>
          <w:color w:val="000000" w:themeColor="text1"/>
          <w:szCs w:val="20"/>
        </w:rPr>
        <w:t>, with significant improvement in Visual analogue score</w:t>
      </w:r>
      <w:r w:rsidRPr="002B0E53">
        <w:rPr>
          <w:rFonts w:ascii="Times New Roman" w:hAnsi="Times New Roman" w:cs="Times New Roman"/>
          <w:color w:val="000000" w:themeColor="text1"/>
          <w:szCs w:val="20"/>
        </w:rPr>
        <w:t>. MIS fixation achieved a satisfactory regional sagittal angle (RSA) post-operatively in all patients. The vast majority of patients achieved a good functional outcome</w:t>
      </w:r>
      <w:r w:rsidR="00AE1ACC" w:rsidRPr="002B0E53">
        <w:rPr>
          <w:rFonts w:ascii="Times New Roman" w:hAnsi="Times New Roman" w:cs="Times New Roman"/>
          <w:color w:val="000000" w:themeColor="text1"/>
          <w:szCs w:val="20"/>
        </w:rPr>
        <w:t xml:space="preserve"> according to modified Macnab criteria</w:t>
      </w:r>
      <w:r w:rsidRPr="002B0E53">
        <w:rPr>
          <w:rFonts w:ascii="Times New Roman" w:hAnsi="Times New Roman" w:cs="Times New Roman"/>
          <w:color w:val="000000" w:themeColor="text1"/>
          <w:szCs w:val="20"/>
        </w:rPr>
        <w:t>.</w:t>
      </w:r>
      <w:r w:rsidR="0077326A" w:rsidRPr="002B0E53">
        <w:rPr>
          <w:rFonts w:ascii="Times New Roman" w:hAnsi="Times New Roman" w:cs="Times New Roman"/>
          <w:szCs w:val="20"/>
        </w:rPr>
        <w:t xml:space="preserve"> Follow up was for a maximum of two years, with relevant imaging at each stage. </w:t>
      </w:r>
      <w:r w:rsidR="000F5E43" w:rsidRPr="002B0E53">
        <w:rPr>
          <w:rFonts w:ascii="Times New Roman" w:hAnsi="Times New Roman" w:cs="Times New Roman"/>
          <w:szCs w:val="20"/>
        </w:rPr>
        <w:t>8 patients had wound infection with 2 patients requiring wound debridement. 5 patients had upper level screws pulled out and in 2 cases one screw was misplaced.</w:t>
      </w:r>
      <w:r w:rsidR="00860E83" w:rsidRPr="002B0E53">
        <w:rPr>
          <w:rFonts w:ascii="Times New Roman" w:hAnsi="Times New Roman" w:cs="Times New Roman"/>
          <w:szCs w:val="20"/>
        </w:rPr>
        <w:t xml:space="preserve"> All 7 had revision surgery.</w:t>
      </w:r>
      <w:r w:rsidR="000F5E43" w:rsidRPr="002B0E53">
        <w:rPr>
          <w:rFonts w:ascii="Times New Roman" w:hAnsi="Times New Roman" w:cs="Times New Roman"/>
          <w:szCs w:val="20"/>
        </w:rPr>
        <w:t xml:space="preserve"> </w:t>
      </w:r>
    </w:p>
    <w:p w:rsidR="00D06131" w:rsidRPr="002B0E53" w:rsidRDefault="00D06131" w:rsidP="00E878FA">
      <w:pPr>
        <w:spacing w:line="240" w:lineRule="auto"/>
        <w:rPr>
          <w:rFonts w:ascii="Times New Roman" w:hAnsi="Times New Roman" w:cs="Times New Roman"/>
          <w:szCs w:val="20"/>
        </w:rPr>
      </w:pPr>
    </w:p>
    <w:p w:rsidR="00142CB7" w:rsidRDefault="00017AAD" w:rsidP="00E878FA">
      <w:pPr>
        <w:spacing w:line="240" w:lineRule="auto"/>
        <w:rPr>
          <w:rFonts w:ascii="Times New Roman" w:hAnsi="Times New Roman" w:cs="Times New Roman"/>
          <w:szCs w:val="20"/>
        </w:rPr>
      </w:pPr>
      <w:r w:rsidRPr="002B0E53">
        <w:rPr>
          <w:rFonts w:ascii="Times New Roman" w:hAnsi="Times New Roman" w:cs="Times New Roman"/>
          <w:szCs w:val="20"/>
        </w:rPr>
        <w:t xml:space="preserve">Conclusions: </w:t>
      </w:r>
      <w:r w:rsidR="0077326A" w:rsidRPr="002B0E53">
        <w:rPr>
          <w:rFonts w:ascii="Times New Roman" w:hAnsi="Times New Roman" w:cs="Times New Roman"/>
          <w:szCs w:val="20"/>
        </w:rPr>
        <w:t xml:space="preserve">Percutaneous pedicle screw fixation </w:t>
      </w:r>
      <w:r w:rsidR="0077326A" w:rsidRPr="002B0E53">
        <w:rPr>
          <w:rFonts w:ascii="Times New Roman" w:hAnsi="Times New Roman" w:cs="Times New Roman"/>
          <w:color w:val="000000" w:themeColor="text1"/>
          <w:szCs w:val="20"/>
        </w:rPr>
        <w:t xml:space="preserve">is a safe surgical option with comparable outcomes to open surgery and a potential reduction in perioperative morbidity. </w:t>
      </w:r>
      <w:r w:rsidR="0077326A" w:rsidRPr="002B0E53">
        <w:rPr>
          <w:rFonts w:ascii="Times New Roman" w:hAnsi="Times New Roman" w:cs="Times New Roman"/>
          <w:szCs w:val="20"/>
        </w:rPr>
        <w:t xml:space="preserve">Percutaneous pedicle screw fixation </w:t>
      </w:r>
      <w:r w:rsidRPr="002B0E53">
        <w:rPr>
          <w:rFonts w:ascii="Times New Roman" w:hAnsi="Times New Roman" w:cs="Times New Roman"/>
          <w:szCs w:val="20"/>
        </w:rPr>
        <w:t>is the primary surgical technique to treat traumatic thoracolumbar fractures at our Centre. There were no major complications in our series, with good functional outcome following surgery</w:t>
      </w:r>
      <w:r w:rsidR="00860E83" w:rsidRPr="002B0E53">
        <w:rPr>
          <w:rFonts w:ascii="Times New Roman" w:hAnsi="Times New Roman" w:cs="Times New Roman"/>
          <w:szCs w:val="20"/>
        </w:rPr>
        <w:t>.</w:t>
      </w:r>
    </w:p>
    <w:p w:rsidR="004B37CC" w:rsidRDefault="004B37CC" w:rsidP="00E878FA">
      <w:pPr>
        <w:spacing w:line="240" w:lineRule="auto"/>
        <w:rPr>
          <w:rFonts w:ascii="Times New Roman" w:hAnsi="Times New Roman" w:cs="Times New Roman"/>
          <w:szCs w:val="20"/>
        </w:rPr>
      </w:pPr>
    </w:p>
    <w:p w:rsidR="0083030B" w:rsidRDefault="0083030B" w:rsidP="0083030B">
      <w:pPr>
        <w:rPr>
          <w:rFonts w:ascii="Times New Roman" w:hAnsi="Times New Roman" w:cs="Times New Roman"/>
          <w:b/>
          <w:szCs w:val="20"/>
        </w:rPr>
      </w:pPr>
      <w:r>
        <w:rPr>
          <w:rFonts w:ascii="Times New Roman" w:hAnsi="Times New Roman" w:cs="Times New Roman"/>
          <w:b/>
          <w:szCs w:val="20"/>
        </w:rPr>
        <w:t>Biography:</w:t>
      </w:r>
    </w:p>
    <w:p w:rsidR="0083030B" w:rsidRDefault="0083030B" w:rsidP="0083030B">
      <w:pPr>
        <w:rPr>
          <w:rFonts w:ascii="Times New Roman" w:hAnsi="Times New Roman" w:cs="Times New Roman"/>
          <w:szCs w:val="20"/>
        </w:rPr>
      </w:pPr>
      <w:r>
        <w:rPr>
          <w:rFonts w:ascii="Times New Roman" w:hAnsi="Times New Roman" w:cs="Times New Roman"/>
          <w:szCs w:val="20"/>
        </w:rPr>
        <w:t xml:space="preserve">Mr Syed M </w:t>
      </w:r>
      <w:proofErr w:type="spellStart"/>
      <w:r>
        <w:rPr>
          <w:rFonts w:ascii="Times New Roman" w:hAnsi="Times New Roman" w:cs="Times New Roman"/>
          <w:szCs w:val="20"/>
        </w:rPr>
        <w:t>M</w:t>
      </w:r>
      <w:proofErr w:type="spellEnd"/>
      <w:r>
        <w:rPr>
          <w:rFonts w:ascii="Times New Roman" w:hAnsi="Times New Roman" w:cs="Times New Roman"/>
          <w:szCs w:val="20"/>
        </w:rPr>
        <w:t xml:space="preserve"> Hashmi has completed his medical education from Karachi, Pakistan. He then completed General Surgical training followed by Neurosurgical Training from </w:t>
      </w:r>
      <w:proofErr w:type="spellStart"/>
      <w:r>
        <w:rPr>
          <w:rFonts w:ascii="Times New Roman" w:hAnsi="Times New Roman" w:cs="Times New Roman"/>
          <w:szCs w:val="20"/>
        </w:rPr>
        <w:t>Abbasi</w:t>
      </w:r>
      <w:proofErr w:type="spellEnd"/>
      <w:r>
        <w:rPr>
          <w:rFonts w:ascii="Times New Roman" w:hAnsi="Times New Roman" w:cs="Times New Roman"/>
          <w:szCs w:val="20"/>
        </w:rPr>
        <w:t xml:space="preserve"> </w:t>
      </w:r>
      <w:proofErr w:type="spellStart"/>
      <w:r>
        <w:rPr>
          <w:rFonts w:ascii="Times New Roman" w:hAnsi="Times New Roman" w:cs="Times New Roman"/>
          <w:szCs w:val="20"/>
        </w:rPr>
        <w:t>Saheed</w:t>
      </w:r>
      <w:proofErr w:type="spellEnd"/>
      <w:r>
        <w:rPr>
          <w:rFonts w:ascii="Times New Roman" w:hAnsi="Times New Roman" w:cs="Times New Roman"/>
          <w:szCs w:val="20"/>
        </w:rPr>
        <w:t xml:space="preserve"> Hospital Karachi. He joined the Department of Neurosurgery at Royal Preston Hospital in 2015. He is currently working as a Senior Registrar. He has published 6 papers in reputed journals.</w:t>
      </w:r>
    </w:p>
    <w:p w:rsidR="004B37CC" w:rsidRDefault="004B37CC" w:rsidP="00E878FA">
      <w:pPr>
        <w:spacing w:line="240" w:lineRule="auto"/>
        <w:rPr>
          <w:rFonts w:ascii="Times New Roman" w:hAnsi="Times New Roman" w:cs="Times New Roman"/>
          <w:szCs w:val="20"/>
        </w:rPr>
      </w:pPr>
    </w:p>
    <w:p w:rsidR="004B37CC" w:rsidRDefault="004B37CC" w:rsidP="00E878FA">
      <w:pPr>
        <w:spacing w:line="240" w:lineRule="auto"/>
        <w:rPr>
          <w:rFonts w:ascii="Times New Roman" w:hAnsi="Times New Roman" w:cs="Times New Roman"/>
          <w:szCs w:val="20"/>
        </w:rPr>
      </w:pPr>
      <w:r>
        <w:rPr>
          <w:noProof/>
          <w:lang w:eastAsia="en-GB"/>
        </w:rPr>
        <w:lastRenderedPageBreak/>
        <w:drawing>
          <wp:inline distT="0" distB="0" distL="0" distR="0" wp14:anchorId="642D431D" wp14:editId="3774A207">
            <wp:extent cx="4029075" cy="3505200"/>
            <wp:effectExtent l="0" t="0" r="9525"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tbl>
      <w:tblPr>
        <w:tblStyle w:val="GridTable1Light"/>
        <w:tblpPr w:leftFromText="180" w:rightFromText="180" w:vertAnchor="text" w:horzAnchor="margin" w:tblpY="146"/>
        <w:tblW w:w="6368" w:type="dxa"/>
        <w:tblLook w:val="04A0" w:firstRow="1" w:lastRow="0" w:firstColumn="1" w:lastColumn="0" w:noHBand="0" w:noVBand="1"/>
      </w:tblPr>
      <w:tblGrid>
        <w:gridCol w:w="1155"/>
        <w:gridCol w:w="643"/>
        <w:gridCol w:w="408"/>
        <w:gridCol w:w="416"/>
        <w:gridCol w:w="419"/>
        <w:gridCol w:w="516"/>
        <w:gridCol w:w="2811"/>
      </w:tblGrid>
      <w:tr w:rsidR="004B37CC" w:rsidRPr="005A0F9E" w:rsidTr="004B37CC">
        <w:trPr>
          <w:cnfStyle w:val="100000000000" w:firstRow="1" w:lastRow="0" w:firstColumn="0" w:lastColumn="0" w:oddVBand="0" w:evenVBand="0" w:oddHBand="0" w:evenHBand="0" w:firstRowFirstColumn="0" w:firstRowLastColumn="0" w:lastRowFirstColumn="0" w:lastRowLastColumn="0"/>
          <w:trHeight w:val="587"/>
        </w:trPr>
        <w:tc>
          <w:tcPr>
            <w:cnfStyle w:val="001000000000" w:firstRow="0" w:lastRow="0" w:firstColumn="1" w:lastColumn="0" w:oddVBand="0" w:evenVBand="0" w:oddHBand="0" w:evenHBand="0" w:firstRowFirstColumn="0" w:firstRowLastColumn="0" w:lastRowFirstColumn="0" w:lastRowLastColumn="0"/>
            <w:tcW w:w="1155" w:type="dxa"/>
            <w:shd w:val="solid" w:color="D9D9D9" w:themeColor="background1" w:themeShade="D9" w:fill="auto"/>
          </w:tcPr>
          <w:p w:rsidR="004B37CC" w:rsidRPr="001E60B1" w:rsidRDefault="004B37CC" w:rsidP="004B37CC">
            <w:pPr>
              <w:spacing w:line="360" w:lineRule="auto"/>
              <w:jc w:val="center"/>
              <w:rPr>
                <w:rFonts w:ascii="Times New Roman" w:hAnsi="Times New Roman" w:cs="Times New Roman"/>
                <w:color w:val="000000" w:themeColor="text1"/>
                <w:sz w:val="20"/>
                <w:szCs w:val="20"/>
              </w:rPr>
            </w:pPr>
            <w:r w:rsidRPr="001E60B1">
              <w:rPr>
                <w:rFonts w:ascii="Times New Roman" w:hAnsi="Times New Roman" w:cs="Times New Roman"/>
                <w:color w:val="000000" w:themeColor="text1"/>
                <w:sz w:val="20"/>
                <w:szCs w:val="20"/>
              </w:rPr>
              <w:t>Grade</w:t>
            </w:r>
          </w:p>
        </w:tc>
        <w:tc>
          <w:tcPr>
            <w:tcW w:w="643" w:type="dxa"/>
            <w:shd w:val="solid" w:color="D9D9D9" w:themeColor="background1" w:themeShade="D9" w:fill="auto"/>
          </w:tcPr>
          <w:p w:rsidR="004B37CC" w:rsidRPr="001E60B1" w:rsidRDefault="004B37CC" w:rsidP="004B37C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1E60B1">
              <w:rPr>
                <w:rFonts w:ascii="Times New Roman" w:hAnsi="Times New Roman" w:cs="Times New Roman"/>
                <w:color w:val="000000" w:themeColor="text1"/>
                <w:sz w:val="20"/>
                <w:szCs w:val="20"/>
              </w:rPr>
              <w:t>A</w:t>
            </w:r>
          </w:p>
        </w:tc>
        <w:tc>
          <w:tcPr>
            <w:tcW w:w="408" w:type="dxa"/>
            <w:shd w:val="solid" w:color="D9D9D9" w:themeColor="background1" w:themeShade="D9" w:fill="auto"/>
          </w:tcPr>
          <w:p w:rsidR="004B37CC" w:rsidRPr="001E60B1" w:rsidRDefault="004B37CC" w:rsidP="004B37C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1E60B1">
              <w:rPr>
                <w:rFonts w:ascii="Times New Roman" w:hAnsi="Times New Roman" w:cs="Times New Roman"/>
                <w:color w:val="000000" w:themeColor="text1"/>
                <w:sz w:val="20"/>
                <w:szCs w:val="20"/>
              </w:rPr>
              <w:t>B</w:t>
            </w:r>
          </w:p>
        </w:tc>
        <w:tc>
          <w:tcPr>
            <w:tcW w:w="416" w:type="dxa"/>
            <w:shd w:val="solid" w:color="D9D9D9" w:themeColor="background1" w:themeShade="D9" w:fill="auto"/>
          </w:tcPr>
          <w:p w:rsidR="004B37CC" w:rsidRPr="001E60B1" w:rsidRDefault="004B37CC" w:rsidP="004B37C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1E60B1">
              <w:rPr>
                <w:rFonts w:ascii="Times New Roman" w:hAnsi="Times New Roman" w:cs="Times New Roman"/>
                <w:color w:val="000000" w:themeColor="text1"/>
                <w:sz w:val="20"/>
                <w:szCs w:val="20"/>
              </w:rPr>
              <w:t>C</w:t>
            </w:r>
          </w:p>
        </w:tc>
        <w:tc>
          <w:tcPr>
            <w:tcW w:w="419" w:type="dxa"/>
            <w:shd w:val="solid" w:color="D9D9D9" w:themeColor="background1" w:themeShade="D9" w:fill="auto"/>
          </w:tcPr>
          <w:p w:rsidR="004B37CC" w:rsidRPr="001E60B1" w:rsidRDefault="004B37CC" w:rsidP="004B37C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1E60B1">
              <w:rPr>
                <w:rFonts w:ascii="Times New Roman" w:hAnsi="Times New Roman" w:cs="Times New Roman"/>
                <w:color w:val="000000" w:themeColor="text1"/>
                <w:sz w:val="20"/>
                <w:szCs w:val="20"/>
              </w:rPr>
              <w:t>D</w:t>
            </w:r>
          </w:p>
        </w:tc>
        <w:tc>
          <w:tcPr>
            <w:tcW w:w="516" w:type="dxa"/>
            <w:shd w:val="solid" w:color="D9D9D9" w:themeColor="background1" w:themeShade="D9" w:fill="auto"/>
          </w:tcPr>
          <w:p w:rsidR="004B37CC" w:rsidRPr="001E60B1" w:rsidRDefault="004B37CC" w:rsidP="004B37C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1E60B1">
              <w:rPr>
                <w:rFonts w:ascii="Times New Roman" w:hAnsi="Times New Roman" w:cs="Times New Roman"/>
                <w:color w:val="000000" w:themeColor="text1"/>
                <w:sz w:val="20"/>
                <w:szCs w:val="20"/>
              </w:rPr>
              <w:t>E</w:t>
            </w:r>
          </w:p>
        </w:tc>
        <w:tc>
          <w:tcPr>
            <w:tcW w:w="2811" w:type="dxa"/>
            <w:shd w:val="solid" w:color="D9D9D9" w:themeColor="background1" w:themeShade="D9" w:fill="auto"/>
          </w:tcPr>
          <w:p w:rsidR="004B37CC" w:rsidRPr="001E60B1" w:rsidRDefault="004B37CC" w:rsidP="004B37C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1E60B1">
              <w:rPr>
                <w:rFonts w:ascii="Times New Roman" w:hAnsi="Times New Roman" w:cs="Times New Roman"/>
                <w:color w:val="000000" w:themeColor="text1"/>
                <w:sz w:val="20"/>
                <w:szCs w:val="20"/>
              </w:rPr>
              <w:t>Total number of Patients with Neurological deficits</w:t>
            </w:r>
          </w:p>
        </w:tc>
      </w:tr>
      <w:tr w:rsidR="004B37CC" w:rsidRPr="005A0F9E" w:rsidTr="004B37CC">
        <w:trPr>
          <w:trHeight w:val="432"/>
        </w:trPr>
        <w:tc>
          <w:tcPr>
            <w:cnfStyle w:val="001000000000" w:firstRow="0" w:lastRow="0" w:firstColumn="1" w:lastColumn="0" w:oddVBand="0" w:evenVBand="0" w:oddHBand="0" w:evenHBand="0" w:firstRowFirstColumn="0" w:firstRowLastColumn="0" w:lastRowFirstColumn="0" w:lastRowLastColumn="0"/>
            <w:tcW w:w="1155" w:type="dxa"/>
            <w:shd w:val="solid" w:color="D9D9D9" w:themeColor="background1" w:themeShade="D9" w:fill="auto"/>
          </w:tcPr>
          <w:p w:rsidR="004B37CC" w:rsidRPr="001E60B1" w:rsidRDefault="004B37CC" w:rsidP="004B37CC">
            <w:pPr>
              <w:spacing w:line="360" w:lineRule="auto"/>
              <w:jc w:val="center"/>
              <w:rPr>
                <w:rFonts w:ascii="Times New Roman" w:hAnsi="Times New Roman" w:cs="Times New Roman"/>
                <w:color w:val="000000" w:themeColor="text1"/>
                <w:sz w:val="20"/>
                <w:szCs w:val="20"/>
              </w:rPr>
            </w:pPr>
            <w:r w:rsidRPr="001E60B1">
              <w:rPr>
                <w:rFonts w:ascii="Times New Roman" w:hAnsi="Times New Roman" w:cs="Times New Roman"/>
                <w:color w:val="000000" w:themeColor="text1"/>
                <w:sz w:val="20"/>
                <w:szCs w:val="20"/>
              </w:rPr>
              <w:t>Pre-op</w:t>
            </w:r>
          </w:p>
        </w:tc>
        <w:tc>
          <w:tcPr>
            <w:tcW w:w="643" w:type="dxa"/>
          </w:tcPr>
          <w:p w:rsidR="004B37CC" w:rsidRPr="001E60B1" w:rsidRDefault="004B37CC" w:rsidP="004B37C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4</w:t>
            </w:r>
          </w:p>
        </w:tc>
        <w:tc>
          <w:tcPr>
            <w:tcW w:w="408" w:type="dxa"/>
          </w:tcPr>
          <w:p w:rsidR="004B37CC" w:rsidRPr="001E60B1" w:rsidRDefault="004B37CC" w:rsidP="004B37C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w:t>
            </w:r>
          </w:p>
        </w:tc>
        <w:tc>
          <w:tcPr>
            <w:tcW w:w="416" w:type="dxa"/>
          </w:tcPr>
          <w:p w:rsidR="004B37CC" w:rsidRPr="001E60B1" w:rsidRDefault="004B37CC" w:rsidP="004B37C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21</w:t>
            </w:r>
          </w:p>
        </w:tc>
        <w:tc>
          <w:tcPr>
            <w:tcW w:w="419" w:type="dxa"/>
          </w:tcPr>
          <w:p w:rsidR="004B37CC" w:rsidRPr="001E60B1" w:rsidRDefault="004B37CC" w:rsidP="004B37C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13</w:t>
            </w:r>
          </w:p>
        </w:tc>
        <w:tc>
          <w:tcPr>
            <w:tcW w:w="516" w:type="dxa"/>
          </w:tcPr>
          <w:p w:rsidR="004B37CC" w:rsidRPr="001E60B1" w:rsidRDefault="004B37CC" w:rsidP="004B37C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218</w:t>
            </w:r>
          </w:p>
        </w:tc>
        <w:tc>
          <w:tcPr>
            <w:tcW w:w="2811" w:type="dxa"/>
          </w:tcPr>
          <w:p w:rsidR="004B37CC" w:rsidRPr="001E60B1" w:rsidRDefault="004B37CC" w:rsidP="004B37C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39</w:t>
            </w:r>
          </w:p>
        </w:tc>
      </w:tr>
      <w:tr w:rsidR="004B37CC" w:rsidRPr="005A0F9E" w:rsidTr="004B37CC">
        <w:trPr>
          <w:trHeight w:val="309"/>
        </w:trPr>
        <w:tc>
          <w:tcPr>
            <w:cnfStyle w:val="001000000000" w:firstRow="0" w:lastRow="0" w:firstColumn="1" w:lastColumn="0" w:oddVBand="0" w:evenVBand="0" w:oddHBand="0" w:evenHBand="0" w:firstRowFirstColumn="0" w:firstRowLastColumn="0" w:lastRowFirstColumn="0" w:lastRowLastColumn="0"/>
            <w:tcW w:w="1155" w:type="dxa"/>
            <w:shd w:val="solid" w:color="D9D9D9" w:themeColor="background1" w:themeShade="D9" w:fill="auto"/>
          </w:tcPr>
          <w:p w:rsidR="004B37CC" w:rsidRPr="001E60B1" w:rsidRDefault="004B37CC" w:rsidP="004B37CC">
            <w:pPr>
              <w:spacing w:line="360" w:lineRule="auto"/>
              <w:jc w:val="center"/>
              <w:rPr>
                <w:rFonts w:ascii="Times New Roman" w:hAnsi="Times New Roman" w:cs="Times New Roman"/>
                <w:color w:val="000000" w:themeColor="text1"/>
                <w:sz w:val="20"/>
                <w:szCs w:val="20"/>
              </w:rPr>
            </w:pPr>
            <w:r w:rsidRPr="001E60B1">
              <w:rPr>
                <w:rFonts w:ascii="Times New Roman" w:hAnsi="Times New Roman" w:cs="Times New Roman"/>
                <w:color w:val="000000" w:themeColor="text1"/>
                <w:sz w:val="20"/>
                <w:szCs w:val="20"/>
              </w:rPr>
              <w:t>Post-op</w:t>
            </w:r>
          </w:p>
        </w:tc>
        <w:tc>
          <w:tcPr>
            <w:tcW w:w="643" w:type="dxa"/>
          </w:tcPr>
          <w:p w:rsidR="004B37CC" w:rsidRPr="001E60B1" w:rsidRDefault="004B37CC" w:rsidP="004B37C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4</w:t>
            </w:r>
          </w:p>
        </w:tc>
        <w:tc>
          <w:tcPr>
            <w:tcW w:w="408" w:type="dxa"/>
          </w:tcPr>
          <w:p w:rsidR="004B37CC" w:rsidRPr="001E60B1" w:rsidRDefault="004B37CC" w:rsidP="004B37C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w:t>
            </w:r>
          </w:p>
        </w:tc>
        <w:tc>
          <w:tcPr>
            <w:tcW w:w="416" w:type="dxa"/>
          </w:tcPr>
          <w:p w:rsidR="004B37CC" w:rsidRPr="001E60B1" w:rsidRDefault="004B37CC" w:rsidP="004B37C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6</w:t>
            </w:r>
          </w:p>
        </w:tc>
        <w:tc>
          <w:tcPr>
            <w:tcW w:w="419" w:type="dxa"/>
          </w:tcPr>
          <w:p w:rsidR="004B37CC" w:rsidRPr="001E60B1" w:rsidRDefault="004B37CC" w:rsidP="004B37C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12</w:t>
            </w:r>
          </w:p>
        </w:tc>
        <w:tc>
          <w:tcPr>
            <w:tcW w:w="516" w:type="dxa"/>
          </w:tcPr>
          <w:p w:rsidR="004B37CC" w:rsidRPr="001E60B1" w:rsidRDefault="004B37CC" w:rsidP="004B37C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233</w:t>
            </w:r>
          </w:p>
        </w:tc>
        <w:tc>
          <w:tcPr>
            <w:tcW w:w="2811" w:type="dxa"/>
          </w:tcPr>
          <w:p w:rsidR="004B37CC" w:rsidRPr="001E60B1" w:rsidRDefault="004B37CC" w:rsidP="004B37C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24</w:t>
            </w:r>
          </w:p>
        </w:tc>
      </w:tr>
    </w:tbl>
    <w:p w:rsidR="004B37CC" w:rsidRDefault="004B37CC" w:rsidP="00E878FA">
      <w:pPr>
        <w:spacing w:line="240" w:lineRule="auto"/>
        <w:rPr>
          <w:rFonts w:ascii="Times New Roman" w:hAnsi="Times New Roman" w:cs="Times New Roman"/>
          <w:szCs w:val="20"/>
        </w:rPr>
      </w:pPr>
    </w:p>
    <w:p w:rsidR="004B37CC" w:rsidRDefault="004B37CC" w:rsidP="00E878FA">
      <w:pPr>
        <w:spacing w:line="240" w:lineRule="auto"/>
        <w:rPr>
          <w:rFonts w:ascii="Times New Roman" w:hAnsi="Times New Roman" w:cs="Times New Roman"/>
          <w:szCs w:val="20"/>
        </w:rPr>
      </w:pPr>
    </w:p>
    <w:p w:rsidR="004B37CC" w:rsidRDefault="004B37CC" w:rsidP="00E878FA">
      <w:pPr>
        <w:spacing w:line="240" w:lineRule="auto"/>
        <w:rPr>
          <w:rFonts w:ascii="Times New Roman" w:hAnsi="Times New Roman" w:cs="Times New Roman"/>
          <w:szCs w:val="20"/>
        </w:rPr>
      </w:pPr>
    </w:p>
    <w:p w:rsidR="004B37CC" w:rsidRDefault="004B37CC" w:rsidP="00E878FA">
      <w:pPr>
        <w:spacing w:line="240" w:lineRule="auto"/>
        <w:rPr>
          <w:rFonts w:ascii="Times New Roman" w:hAnsi="Times New Roman" w:cs="Times New Roman"/>
          <w:szCs w:val="20"/>
        </w:rPr>
      </w:pPr>
    </w:p>
    <w:p w:rsidR="004B37CC" w:rsidRDefault="004B37CC" w:rsidP="00E878FA">
      <w:pPr>
        <w:spacing w:line="240" w:lineRule="auto"/>
        <w:rPr>
          <w:rFonts w:ascii="Times New Roman" w:hAnsi="Times New Roman" w:cs="Times New Roman"/>
          <w:szCs w:val="20"/>
        </w:rPr>
      </w:pPr>
    </w:p>
    <w:tbl>
      <w:tblPr>
        <w:tblStyle w:val="TableGrid"/>
        <w:tblW w:w="8523" w:type="dxa"/>
        <w:tblLook w:val="04A0" w:firstRow="1" w:lastRow="0" w:firstColumn="1" w:lastColumn="0" w:noHBand="0" w:noVBand="1"/>
      </w:tblPr>
      <w:tblGrid>
        <w:gridCol w:w="2946"/>
        <w:gridCol w:w="2781"/>
        <w:gridCol w:w="2796"/>
      </w:tblGrid>
      <w:tr w:rsidR="004B37CC" w:rsidTr="00715E45">
        <w:trPr>
          <w:trHeight w:val="455"/>
        </w:trPr>
        <w:tc>
          <w:tcPr>
            <w:tcW w:w="8523" w:type="dxa"/>
            <w:gridSpan w:val="3"/>
          </w:tcPr>
          <w:p w:rsidR="004B37CC" w:rsidRPr="00BC5292" w:rsidRDefault="004B37CC" w:rsidP="00715E45">
            <w:pPr>
              <w:rPr>
                <w:b/>
              </w:rPr>
            </w:pPr>
            <w:r w:rsidRPr="00BC5292">
              <w:rPr>
                <w:b/>
              </w:rPr>
              <w:t>Figure 1</w:t>
            </w:r>
            <w:r>
              <w:rPr>
                <w:b/>
              </w:rPr>
              <w:t xml:space="preserve">. A, B, C, post-operative standing </w:t>
            </w:r>
            <w:proofErr w:type="spellStart"/>
            <w:r>
              <w:rPr>
                <w:b/>
              </w:rPr>
              <w:t>Xrays</w:t>
            </w:r>
            <w:proofErr w:type="spellEnd"/>
            <w:r>
              <w:rPr>
                <w:b/>
              </w:rPr>
              <w:t xml:space="preserve"> of Lumbar spine(Lateral Views) in Second follow up clinic  at 6 months</w:t>
            </w:r>
          </w:p>
          <w:p w:rsidR="004B37CC" w:rsidRDefault="004B37CC" w:rsidP="00715E45">
            <w:pPr>
              <w:rPr>
                <w:noProof/>
                <w:lang w:eastAsia="en-GB"/>
              </w:rPr>
            </w:pPr>
          </w:p>
        </w:tc>
      </w:tr>
      <w:tr w:rsidR="004B37CC" w:rsidTr="00715E45">
        <w:trPr>
          <w:trHeight w:val="4354"/>
        </w:trPr>
        <w:tc>
          <w:tcPr>
            <w:tcW w:w="2946" w:type="dxa"/>
          </w:tcPr>
          <w:p w:rsidR="004B37CC" w:rsidRDefault="004B37CC" w:rsidP="00715E45">
            <w:r>
              <w:rPr>
                <w:noProof/>
                <w:lang w:eastAsia="en-GB"/>
              </w:rPr>
              <w:drawing>
                <wp:inline distT="0" distB="0" distL="0" distR="0" wp14:anchorId="30F1A3A8" wp14:editId="4120418B">
                  <wp:extent cx="1733550" cy="2724150"/>
                  <wp:effectExtent l="0" t="0" r="0" b="0"/>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a:blip r:embed="rId6" cstate="email">
                            <a:extLst>
                              <a:ext uri="{28A0092B-C50C-407E-A947-70E740481C1C}">
                                <a14:useLocalDpi xmlns:a14="http://schemas.microsoft.com/office/drawing/2010/main" val="0"/>
                              </a:ext>
                            </a:extLst>
                          </a:blip>
                          <a:stretch>
                            <a:fillRect/>
                          </a:stretch>
                        </pic:blipFill>
                        <pic:spPr>
                          <a:xfrm>
                            <a:off x="0" y="0"/>
                            <a:ext cx="1741634" cy="2736853"/>
                          </a:xfrm>
                          <a:prstGeom prst="rect">
                            <a:avLst/>
                          </a:prstGeom>
                        </pic:spPr>
                      </pic:pic>
                    </a:graphicData>
                  </a:graphic>
                </wp:inline>
              </w:drawing>
            </w:r>
          </w:p>
        </w:tc>
        <w:tc>
          <w:tcPr>
            <w:tcW w:w="2781" w:type="dxa"/>
          </w:tcPr>
          <w:p w:rsidR="004B37CC" w:rsidRDefault="004B37CC" w:rsidP="00715E45">
            <w:r>
              <w:rPr>
                <w:noProof/>
                <w:lang w:eastAsia="en-GB"/>
              </w:rPr>
              <w:drawing>
                <wp:inline distT="0" distB="0" distL="0" distR="0" wp14:anchorId="0D7F3F5A" wp14:editId="65AE089B">
                  <wp:extent cx="1628775" cy="2723088"/>
                  <wp:effectExtent l="0" t="0" r="0" b="1270"/>
                  <wp:docPr id="3" name="Content Placeholder 4" descr="NA 1.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descr="NA 1.jpg"/>
                          <pic:cNvPicPr>
                            <a:picLocks noGrp="1" noChangeAspect="1"/>
                          </pic:cNvPicPr>
                        </pic:nvPicPr>
                        <pic:blipFill rotWithShape="1">
                          <a:blip r:embed="rId7" cstate="email">
                            <a:extLst>
                              <a:ext uri="{28A0092B-C50C-407E-A947-70E740481C1C}">
                                <a14:useLocalDpi xmlns:a14="http://schemas.microsoft.com/office/drawing/2010/main" val="0"/>
                              </a:ext>
                            </a:extLst>
                          </a:blip>
                          <a:srcRect l="17353" r="7500"/>
                          <a:stretch/>
                        </pic:blipFill>
                        <pic:spPr>
                          <a:xfrm>
                            <a:off x="0" y="0"/>
                            <a:ext cx="1632249" cy="2728896"/>
                          </a:xfrm>
                          <a:prstGeom prst="rect">
                            <a:avLst/>
                          </a:prstGeom>
                        </pic:spPr>
                      </pic:pic>
                    </a:graphicData>
                  </a:graphic>
                </wp:inline>
              </w:drawing>
            </w:r>
          </w:p>
        </w:tc>
        <w:tc>
          <w:tcPr>
            <w:tcW w:w="2796" w:type="dxa"/>
          </w:tcPr>
          <w:p w:rsidR="004B37CC" w:rsidRDefault="004B37CC" w:rsidP="00715E45">
            <w:r>
              <w:rPr>
                <w:noProof/>
                <w:lang w:eastAsia="en-GB"/>
              </w:rPr>
              <w:drawing>
                <wp:inline distT="0" distB="0" distL="0" distR="0" wp14:anchorId="608D02E4" wp14:editId="1CB4C3D7">
                  <wp:extent cx="1638300" cy="2726572"/>
                  <wp:effectExtent l="0" t="0" r="0" b="0"/>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8" cstate="email">
                            <a:extLst>
                              <a:ext uri="{28A0092B-C50C-407E-A947-70E740481C1C}">
                                <a14:useLocalDpi xmlns:a14="http://schemas.microsoft.com/office/drawing/2010/main" val="0"/>
                              </a:ext>
                            </a:extLst>
                          </a:blip>
                          <a:stretch>
                            <a:fillRect/>
                          </a:stretch>
                        </pic:blipFill>
                        <pic:spPr>
                          <a:xfrm>
                            <a:off x="0" y="0"/>
                            <a:ext cx="1644518" cy="2736920"/>
                          </a:xfrm>
                          <a:prstGeom prst="rect">
                            <a:avLst/>
                          </a:prstGeom>
                        </pic:spPr>
                      </pic:pic>
                    </a:graphicData>
                  </a:graphic>
                </wp:inline>
              </w:drawing>
            </w:r>
          </w:p>
        </w:tc>
      </w:tr>
      <w:tr w:rsidR="004B37CC" w:rsidTr="004B37CC">
        <w:trPr>
          <w:trHeight w:val="827"/>
        </w:trPr>
        <w:tc>
          <w:tcPr>
            <w:tcW w:w="2946" w:type="dxa"/>
          </w:tcPr>
          <w:p w:rsidR="004B37CC" w:rsidRDefault="004B37CC" w:rsidP="00715E45">
            <w:r>
              <w:t>A) 1 Level above and  1 Below the Fracture</w:t>
            </w:r>
          </w:p>
        </w:tc>
        <w:tc>
          <w:tcPr>
            <w:tcW w:w="2781" w:type="dxa"/>
          </w:tcPr>
          <w:p w:rsidR="004B37CC" w:rsidRDefault="004B37CC" w:rsidP="00715E45">
            <w:r>
              <w:t>B) 1 Level above and 1 Below the fracture with short Pedicle screw</w:t>
            </w:r>
          </w:p>
        </w:tc>
        <w:tc>
          <w:tcPr>
            <w:tcW w:w="2796" w:type="dxa"/>
          </w:tcPr>
          <w:p w:rsidR="004B37CC" w:rsidRDefault="004B37CC" w:rsidP="00715E45">
            <w:r>
              <w:t>C) 2 Level above and 2 Below the Fracture</w:t>
            </w:r>
          </w:p>
        </w:tc>
      </w:tr>
    </w:tbl>
    <w:p w:rsidR="004B37CC" w:rsidRPr="002B0E53" w:rsidRDefault="004B37CC" w:rsidP="00E878FA">
      <w:pPr>
        <w:spacing w:line="240" w:lineRule="auto"/>
        <w:rPr>
          <w:rFonts w:ascii="Times New Roman" w:hAnsi="Times New Roman" w:cs="Times New Roman"/>
          <w:szCs w:val="20"/>
        </w:rPr>
      </w:pPr>
    </w:p>
    <w:sectPr w:rsidR="004B37CC" w:rsidRPr="002B0E53" w:rsidSect="004B37CC">
      <w:pgSz w:w="11906" w:h="16838"/>
      <w:pgMar w:top="1276"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7AAD"/>
    <w:rsid w:val="00017AAD"/>
    <w:rsid w:val="000F5E43"/>
    <w:rsid w:val="00142CB7"/>
    <w:rsid w:val="00285449"/>
    <w:rsid w:val="002B0E53"/>
    <w:rsid w:val="00357505"/>
    <w:rsid w:val="004B37CC"/>
    <w:rsid w:val="00723C2E"/>
    <w:rsid w:val="007553D8"/>
    <w:rsid w:val="0077326A"/>
    <w:rsid w:val="0083030B"/>
    <w:rsid w:val="00860E83"/>
    <w:rsid w:val="00A25D15"/>
    <w:rsid w:val="00AE1ACC"/>
    <w:rsid w:val="00D06131"/>
    <w:rsid w:val="00E878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B37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37CC"/>
    <w:rPr>
      <w:rFonts w:ascii="Tahoma" w:hAnsi="Tahoma" w:cs="Tahoma"/>
      <w:sz w:val="16"/>
      <w:szCs w:val="16"/>
    </w:rPr>
  </w:style>
  <w:style w:type="table" w:customStyle="1" w:styleId="GridTable1Light">
    <w:name w:val="Grid Table 1 Light"/>
    <w:basedOn w:val="TableNormal"/>
    <w:uiPriority w:val="46"/>
    <w:rsid w:val="004B37C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
    <w:name w:val="Table Grid"/>
    <w:basedOn w:val="TableNormal"/>
    <w:uiPriority w:val="59"/>
    <w:rsid w:val="004B37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B37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37CC"/>
    <w:rPr>
      <w:rFonts w:ascii="Tahoma" w:hAnsi="Tahoma" w:cs="Tahoma"/>
      <w:sz w:val="16"/>
      <w:szCs w:val="16"/>
    </w:rPr>
  </w:style>
  <w:style w:type="table" w:customStyle="1" w:styleId="GridTable1Light">
    <w:name w:val="Grid Table 1 Light"/>
    <w:basedOn w:val="TableNormal"/>
    <w:uiPriority w:val="46"/>
    <w:rsid w:val="004B37C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
    <w:name w:val="Table Grid"/>
    <w:basedOn w:val="TableNormal"/>
    <w:uiPriority w:val="59"/>
    <w:rsid w:val="004B37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2144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chart" Target="charts/chart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itle>
    <c:autoTitleDeleted val="0"/>
    <c:plotArea>
      <c:layout/>
      <c:barChart>
        <c:barDir val="col"/>
        <c:grouping val="clustered"/>
        <c:varyColors val="0"/>
        <c:ser>
          <c:idx val="0"/>
          <c:order val="0"/>
          <c:tx>
            <c:strRef>
              <c:f>Sheet1!$B$1</c:f>
              <c:strCache>
                <c:ptCount val="1"/>
                <c:pt idx="0">
                  <c:v>Fracture Levels</c:v>
                </c:pt>
              </c:strCache>
            </c:strRef>
          </c:tx>
          <c:invertIfNegative val="0"/>
          <c:dLbls>
            <c:dLbl>
              <c:idx val="0"/>
              <c:layout/>
              <c:tx>
                <c:rich>
                  <a:bodyPr/>
                  <a:lstStyle/>
                  <a:p>
                    <a:r>
                      <a:rPr lang="en-US"/>
                      <a:t>8</a:t>
                    </a:r>
                  </a:p>
                </c:rich>
              </c:tx>
              <c:showLegendKey val="0"/>
              <c:showVal val="1"/>
              <c:showCatName val="0"/>
              <c:showSerName val="0"/>
              <c:showPercent val="0"/>
              <c:showBubbleSize val="0"/>
            </c:dLbl>
            <c:dLbl>
              <c:idx val="1"/>
              <c:layout/>
              <c:tx>
                <c:rich>
                  <a:bodyPr/>
                  <a:lstStyle/>
                  <a:p>
                    <a:r>
                      <a:rPr lang="en-US"/>
                      <a:t>27</a:t>
                    </a:r>
                  </a:p>
                </c:rich>
              </c:tx>
              <c:showLegendKey val="0"/>
              <c:showVal val="1"/>
              <c:showCatName val="0"/>
              <c:showSerName val="0"/>
              <c:showPercent val="0"/>
              <c:showBubbleSize val="0"/>
            </c:dLbl>
            <c:dLbl>
              <c:idx val="2"/>
              <c:layout/>
              <c:tx>
                <c:rich>
                  <a:bodyPr/>
                  <a:lstStyle/>
                  <a:p>
                    <a:r>
                      <a:rPr lang="en-US"/>
                      <a:t>63</a:t>
                    </a:r>
                  </a:p>
                </c:rich>
              </c:tx>
              <c:showLegendKey val="0"/>
              <c:showVal val="1"/>
              <c:showCatName val="0"/>
              <c:showSerName val="0"/>
              <c:showPercent val="0"/>
              <c:showBubbleSize val="0"/>
            </c:dLbl>
            <c:dLbl>
              <c:idx val="3"/>
              <c:layout/>
              <c:tx>
                <c:rich>
                  <a:bodyPr/>
                  <a:lstStyle/>
                  <a:p>
                    <a:r>
                      <a:rPr lang="en-US"/>
                      <a:t>91</a:t>
                    </a:r>
                  </a:p>
                </c:rich>
              </c:tx>
              <c:showLegendKey val="0"/>
              <c:showVal val="1"/>
              <c:showCatName val="0"/>
              <c:showSerName val="0"/>
              <c:showPercent val="0"/>
              <c:showBubbleSize val="0"/>
            </c:dLbl>
            <c:dLbl>
              <c:idx val="4"/>
              <c:layout/>
              <c:tx>
                <c:rich>
                  <a:bodyPr/>
                  <a:lstStyle/>
                  <a:p>
                    <a:r>
                      <a:rPr lang="en-US"/>
                      <a:t>41</a:t>
                    </a:r>
                  </a:p>
                </c:rich>
              </c:tx>
              <c:showLegendKey val="0"/>
              <c:showVal val="1"/>
              <c:showCatName val="0"/>
              <c:showSerName val="0"/>
              <c:showPercent val="0"/>
              <c:showBubbleSize val="0"/>
            </c:dLbl>
            <c:dLbl>
              <c:idx val="6"/>
              <c:layout/>
              <c:tx>
                <c:rich>
                  <a:bodyPr/>
                  <a:lstStyle/>
                  <a:p>
                    <a:r>
                      <a:rPr lang="en-US"/>
                      <a:t>10</a:t>
                    </a:r>
                  </a:p>
                </c:rich>
              </c:tx>
              <c:showLegendKey val="0"/>
              <c:showVal val="1"/>
              <c:showCatName val="0"/>
              <c:showSerName val="0"/>
              <c:showPercent val="0"/>
              <c:showBubbleSize val="0"/>
            </c:dLbl>
            <c:showLegendKey val="0"/>
            <c:showVal val="1"/>
            <c:showCatName val="0"/>
            <c:showSerName val="0"/>
            <c:showPercent val="0"/>
            <c:showBubbleSize val="0"/>
            <c:showLeaderLines val="0"/>
          </c:dLbls>
          <c:cat>
            <c:strRef>
              <c:f>Sheet1!$A$2:$A$8</c:f>
              <c:strCache>
                <c:ptCount val="7"/>
                <c:pt idx="0">
                  <c:v>Upper thoracic</c:v>
                </c:pt>
                <c:pt idx="1">
                  <c:v>Mid Thoracic</c:v>
                </c:pt>
                <c:pt idx="2">
                  <c:v>Lower Thoracic</c:v>
                </c:pt>
                <c:pt idx="3">
                  <c:v>L1</c:v>
                </c:pt>
                <c:pt idx="4">
                  <c:v>L2</c:v>
                </c:pt>
                <c:pt idx="5">
                  <c:v>L3</c:v>
                </c:pt>
                <c:pt idx="6">
                  <c:v>L4</c:v>
                </c:pt>
              </c:strCache>
            </c:strRef>
          </c:cat>
          <c:val>
            <c:numRef>
              <c:f>Sheet1!$B$2:$B$8</c:f>
              <c:numCache>
                <c:formatCode>General</c:formatCode>
                <c:ptCount val="7"/>
                <c:pt idx="0">
                  <c:v>8</c:v>
                </c:pt>
                <c:pt idx="1">
                  <c:v>27</c:v>
                </c:pt>
                <c:pt idx="2">
                  <c:v>63</c:v>
                </c:pt>
                <c:pt idx="3">
                  <c:v>91</c:v>
                </c:pt>
                <c:pt idx="4">
                  <c:v>41</c:v>
                </c:pt>
                <c:pt idx="5">
                  <c:v>17</c:v>
                </c:pt>
                <c:pt idx="6">
                  <c:v>10</c:v>
                </c:pt>
              </c:numCache>
            </c:numRef>
          </c:val>
        </c:ser>
        <c:dLbls>
          <c:showLegendKey val="0"/>
          <c:showVal val="0"/>
          <c:showCatName val="0"/>
          <c:showSerName val="0"/>
          <c:showPercent val="0"/>
          <c:showBubbleSize val="0"/>
        </c:dLbls>
        <c:gapWidth val="100"/>
        <c:axId val="171677568"/>
        <c:axId val="171679104"/>
      </c:barChart>
      <c:catAx>
        <c:axId val="171677568"/>
        <c:scaling>
          <c:orientation val="minMax"/>
        </c:scaling>
        <c:delete val="0"/>
        <c:axPos val="b"/>
        <c:majorTickMark val="out"/>
        <c:minorTickMark val="none"/>
        <c:tickLblPos val="nextTo"/>
        <c:crossAx val="171679104"/>
        <c:crosses val="autoZero"/>
        <c:auto val="1"/>
        <c:lblAlgn val="ctr"/>
        <c:lblOffset val="100"/>
        <c:noMultiLvlLbl val="0"/>
      </c:catAx>
      <c:valAx>
        <c:axId val="171679104"/>
        <c:scaling>
          <c:orientation val="minMax"/>
        </c:scaling>
        <c:delete val="0"/>
        <c:axPos val="l"/>
        <c:majorGridlines/>
        <c:numFmt formatCode="General" sourceLinked="1"/>
        <c:majorTickMark val="out"/>
        <c:minorTickMark val="none"/>
        <c:tickLblPos val="nextTo"/>
        <c:crossAx val="171677568"/>
        <c:crosses val="autoZero"/>
        <c:crossBetween val="between"/>
      </c:valAx>
    </c:plotArea>
    <c:legend>
      <c:legendPos val="r"/>
      <c:layou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2</Pages>
  <Words>496</Words>
  <Characters>2828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3318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Ward 2b (LTHTR)</dc:creator>
  <cp:lastModifiedBy>Wardtwoa  (LTHTR)</cp:lastModifiedBy>
  <cp:revision>8</cp:revision>
  <dcterms:created xsi:type="dcterms:W3CDTF">2020-01-31T11:40:00Z</dcterms:created>
  <dcterms:modified xsi:type="dcterms:W3CDTF">2021-01-28T18:38:00Z</dcterms:modified>
</cp:coreProperties>
</file>