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73F2C" w14:textId="70BF4565" w:rsidR="00AE3E37" w:rsidRDefault="00D30AA4" w:rsidP="00494130">
      <w:pPr>
        <w:pStyle w:val="Heading1"/>
        <w:spacing w:before="170"/>
        <w:ind w:left="0"/>
      </w:pPr>
      <w:bookmarkStart w:id="0" w:name="_GoBack"/>
      <w:proofErr w:type="spellStart"/>
      <w:r w:rsidRPr="00D30AA4">
        <w:rPr>
          <w:color w:val="337AB7"/>
        </w:rPr>
        <w:t>Utilisation</w:t>
      </w:r>
      <w:proofErr w:type="spellEnd"/>
      <w:r w:rsidRPr="00D30AA4">
        <w:rPr>
          <w:color w:val="337AB7"/>
        </w:rPr>
        <w:t xml:space="preserve"> of Tranexamic acid in a patient with Sickle Cell Disease undergoing posterior scoliosis correction surgery: safely mitigating blood loss and </w:t>
      </w:r>
      <w:proofErr w:type="spellStart"/>
      <w:r w:rsidRPr="00D30AA4">
        <w:rPr>
          <w:color w:val="337AB7"/>
        </w:rPr>
        <w:t>vaso</w:t>
      </w:r>
      <w:proofErr w:type="spellEnd"/>
      <w:r w:rsidRPr="00D30AA4">
        <w:rPr>
          <w:color w:val="337AB7"/>
        </w:rPr>
        <w:t>-occlusive crises</w:t>
      </w:r>
    </w:p>
    <w:bookmarkEnd w:id="0"/>
    <w:p w14:paraId="5BEAF75F" w14:textId="491CFC5E" w:rsidR="005973B9" w:rsidRDefault="00AF6707" w:rsidP="005973B9">
      <w:pPr>
        <w:pStyle w:val="BodyText"/>
        <w:spacing w:before="73" w:line="198" w:lineRule="exact"/>
        <w:ind w:left="100" w:right="5987"/>
        <w:rPr>
          <w:rFonts w:ascii="Arial"/>
        </w:rPr>
      </w:pPr>
      <w:r>
        <w:rPr>
          <w:rFonts w:ascii="Arial"/>
        </w:rPr>
        <w:t>Newall M, Hamdan TA, Weil S, Ajayi B, Lui DF.</w:t>
      </w:r>
    </w:p>
    <w:p w14:paraId="087503D1" w14:textId="77777777" w:rsidR="00A008EE" w:rsidRDefault="00AF6707" w:rsidP="00A008EE">
      <w:pPr>
        <w:pStyle w:val="BodyText"/>
        <w:spacing w:before="73" w:line="198" w:lineRule="exact"/>
        <w:ind w:left="100" w:right="5987"/>
        <w:rPr>
          <w:rFonts w:ascii="Arial"/>
        </w:rPr>
      </w:pPr>
      <w:r>
        <w:rPr>
          <w:rFonts w:ascii="Arial"/>
        </w:rPr>
        <w:t>St. George</w:t>
      </w:r>
      <w:r>
        <w:rPr>
          <w:rFonts w:ascii="Arial"/>
        </w:rPr>
        <w:t>’</w:t>
      </w:r>
      <w:r>
        <w:rPr>
          <w:rFonts w:ascii="Arial"/>
        </w:rPr>
        <w:t>s University Hospitals NHS Foundation Trust, UK.</w:t>
      </w:r>
    </w:p>
    <w:p w14:paraId="765576F5" w14:textId="078B5CD5" w:rsidR="00AE3E37" w:rsidRDefault="00AF6707" w:rsidP="00A008EE">
      <w:pPr>
        <w:pStyle w:val="BodyText"/>
        <w:spacing w:before="73" w:line="198" w:lineRule="exact"/>
        <w:ind w:left="100" w:right="5987"/>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r>
        <w:rPr>
          <w:noProof/>
          <w:lang w:val="en-IN" w:eastAsia="en-IN"/>
        </w:rPr>
        <w:drawing>
          <wp:anchor distT="0" distB="0" distL="0" distR="0" simplePos="0" relativeHeight="251658240" behindDoc="0" locked="0" layoutInCell="1" allowOverlap="1" wp14:anchorId="6C647F29" wp14:editId="709CAF67">
            <wp:simplePos x="0" y="0"/>
            <wp:positionH relativeFrom="page">
              <wp:posOffset>3938270</wp:posOffset>
            </wp:positionH>
            <wp:positionV relativeFrom="paragraph">
              <wp:posOffset>366395</wp:posOffset>
            </wp:positionV>
            <wp:extent cx="2887345" cy="1735455"/>
            <wp:effectExtent l="0" t="0" r="825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7345" cy="1735455"/>
                    </a:xfrm>
                    <a:prstGeom prst="rect">
                      <a:avLst/>
                    </a:prstGeom>
                  </pic:spPr>
                </pic:pic>
              </a:graphicData>
            </a:graphic>
            <wp14:sizeRelH relativeFrom="margin">
              <wp14:pctWidth>0</wp14:pctWidth>
            </wp14:sizeRelH>
            <wp14:sizeRelV relativeFrom="margin">
              <wp14:pctHeight>0</wp14:pctHeight>
            </wp14:sizeRelV>
          </wp:anchor>
        </w:drawing>
      </w:r>
    </w:p>
    <w:p w14:paraId="47C19CB3" w14:textId="271A3C58"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739686F" w14:textId="2F77D36B" w:rsidR="00AF6707" w:rsidRDefault="00AF6707" w:rsidP="00AF6707">
      <w:pPr>
        <w:pStyle w:val="BodyText"/>
        <w:spacing w:before="90" w:line="280" w:lineRule="auto"/>
        <w:ind w:left="100"/>
        <w:jc w:val="both"/>
      </w:pPr>
      <w:r>
        <w:t xml:space="preserve">Patients with sickle cell disease (SSD) have high rates of surgical complications including blood loss and </w:t>
      </w:r>
      <w:proofErr w:type="spellStart"/>
      <w:r>
        <w:t>vaso</w:t>
      </w:r>
      <w:proofErr w:type="spellEnd"/>
      <w:r>
        <w:t xml:space="preserve">-occlusive sickle cell crises (VOSCC); they require careful management including transfusions and meticulous </w:t>
      </w:r>
      <w:proofErr w:type="spellStart"/>
      <w:r>
        <w:t>haemostasis</w:t>
      </w:r>
      <w:proofErr w:type="spellEnd"/>
      <w:r>
        <w:t>. There are no previous case reports of tranexamic acid use in association with adolescent idiopathic scoliosis (AIS) surgery and SSD. AIS surgery can be associated with morbidity including high volume blood loss.</w:t>
      </w:r>
    </w:p>
    <w:p w14:paraId="412A63D9" w14:textId="4DB79B55" w:rsidR="00AF6707" w:rsidRDefault="00AF6707" w:rsidP="00AF6707">
      <w:pPr>
        <w:pStyle w:val="BodyText"/>
        <w:spacing w:before="90" w:line="280" w:lineRule="auto"/>
        <w:ind w:left="100"/>
        <w:jc w:val="both"/>
      </w:pPr>
      <w:r>
        <w:t>Case: PB 15-year-old female, 2 years post-menarchal AIS, SSD. Truncal shift and large right rib hump not fully reduced on Adams forward bend test with right side bending. History of VOSCC, and ICU admission for acute chest syndrome aged 7y. Daily penicillin V and folic acid. Baseline haemoglobin 80g/L. Pre-operative red cell exchange transfusion to reduce risk of VOSCC increased total haemoglobin to 109g/L and reduced percentage of sickle cell haemoglobin (88% to 24%).</w:t>
      </w:r>
    </w:p>
    <w:p w14:paraId="1E3EC98F" w14:textId="77777777" w:rsidR="00AF6707" w:rsidRDefault="00AF6707" w:rsidP="00AF6707">
      <w:pPr>
        <w:pStyle w:val="BodyText"/>
        <w:spacing w:before="90" w:line="280" w:lineRule="auto"/>
        <w:ind w:left="100"/>
        <w:jc w:val="both"/>
      </w:pPr>
      <w:r>
        <w:t xml:space="preserve">Operative Treatment: TIVA </w:t>
      </w:r>
      <w:proofErr w:type="spellStart"/>
      <w:r>
        <w:t>anaesthetic</w:t>
      </w:r>
      <w:proofErr w:type="spellEnd"/>
      <w:r>
        <w:t xml:space="preserve"> </w:t>
      </w:r>
      <w:proofErr w:type="spellStart"/>
      <w:r>
        <w:t>utilised</w:t>
      </w:r>
      <w:proofErr w:type="spellEnd"/>
      <w:r>
        <w:t xml:space="preserve"> for transcranial spinal cord monitoring. MAP &lt;70mmHg was employed. TXA given at 10 mg/kg. Posterior spinal fusion </w:t>
      </w:r>
      <w:proofErr w:type="spellStart"/>
      <w:r>
        <w:t>utilising</w:t>
      </w:r>
      <w:proofErr w:type="spellEnd"/>
      <w:r>
        <w:t xml:space="preserve"> all pedicle screw construction from T3-L1. No costoplasty to save blood loss despite rib hump. </w:t>
      </w:r>
      <w:proofErr w:type="spellStart"/>
      <w:r>
        <w:t>Misonix</w:t>
      </w:r>
      <w:proofErr w:type="spellEnd"/>
      <w:r>
        <w:t xml:space="preserve"> Ultrasonic Bone cutter for facetectomies, </w:t>
      </w:r>
      <w:proofErr w:type="spellStart"/>
      <w:r>
        <w:t>Haemostat</w:t>
      </w:r>
      <w:proofErr w:type="spellEnd"/>
      <w:r>
        <w:t xml:space="preserve"> </w:t>
      </w:r>
      <w:proofErr w:type="spellStart"/>
      <w:r>
        <w:t>Surgiflo</w:t>
      </w:r>
      <w:proofErr w:type="spellEnd"/>
      <w:r>
        <w:t xml:space="preserve"> in each pedicle instrumented, </w:t>
      </w:r>
      <w:proofErr w:type="spellStart"/>
      <w:r>
        <w:t>Spongestan</w:t>
      </w:r>
      <w:proofErr w:type="spellEnd"/>
      <w:r>
        <w:t xml:space="preserve"> Foam, </w:t>
      </w:r>
      <w:proofErr w:type="spellStart"/>
      <w:r>
        <w:t>Surgicel</w:t>
      </w:r>
      <w:proofErr w:type="spellEnd"/>
      <w:r>
        <w:t xml:space="preserve"> and bone wax for </w:t>
      </w:r>
      <w:proofErr w:type="spellStart"/>
      <w:r>
        <w:t>haemostasis</w:t>
      </w:r>
      <w:proofErr w:type="spellEnd"/>
      <w:r>
        <w:t xml:space="preserve"> at osteotomy sites. 2 Diathermy 2 generators </w:t>
      </w:r>
      <w:proofErr w:type="spellStart"/>
      <w:r>
        <w:t>utilised</w:t>
      </w:r>
      <w:proofErr w:type="spellEnd"/>
      <w:r>
        <w:t xml:space="preserve"> for simultaneous bipolar and unipolar use. No cell saver used. One </w:t>
      </w:r>
      <w:proofErr w:type="spellStart"/>
      <w:r>
        <w:t>suctioner</w:t>
      </w:r>
      <w:proofErr w:type="spellEnd"/>
      <w:r>
        <w:t xml:space="preserve"> not two. Estimated blood loss 300ml. Satisfactory recovery but protracted wound ooze for 4 days and non VOSCC pain, discharged home after eight days.</w:t>
      </w:r>
    </w:p>
    <w:p w14:paraId="69A55711" w14:textId="6A06346B" w:rsidR="00AE3E37" w:rsidRDefault="00AF6707" w:rsidP="00AF6707">
      <w:pPr>
        <w:pStyle w:val="BodyText"/>
        <w:spacing w:before="90" w:line="280" w:lineRule="auto"/>
        <w:ind w:left="100"/>
        <w:jc w:val="both"/>
      </w:pPr>
      <w:r>
        <w:t xml:space="preserve">Discussion: Tranexamic acid, a synthetic lysine derivative and antifibrinolytic agent, acts by binding to plasminogen and blocking interaction with fibrin preventing dissolution of the fibrin clot. This is the first report of TXA use in SSD and AIS. Longer hospital </w:t>
      </w:r>
      <w:proofErr w:type="gramStart"/>
      <w:r>
        <w:t>stay</w:t>
      </w:r>
      <w:proofErr w:type="gramEnd"/>
      <w:r>
        <w:t xml:space="preserve"> due to pain, aggressive IV fluids to prevent VOSCC.</w:t>
      </w:r>
    </w:p>
    <w:p w14:paraId="070A116E" w14:textId="77777777" w:rsidR="00AE3E37" w:rsidRDefault="00A9710C">
      <w:pPr>
        <w:pStyle w:val="Heading3"/>
        <w:spacing w:before="74"/>
      </w:pPr>
      <w:r>
        <w:rPr>
          <w:b w:val="0"/>
        </w:rPr>
        <w:br w:type="column"/>
      </w:r>
      <w:r>
        <w:rPr>
          <w:color w:val="BF5A14"/>
        </w:rPr>
        <w:t>Image</w:t>
      </w:r>
    </w:p>
    <w:p w14:paraId="284B4BCE" w14:textId="0EF37033" w:rsidR="00AE3E37" w:rsidRDefault="00AE3E37">
      <w:pPr>
        <w:pStyle w:val="BodyText"/>
        <w:spacing w:before="2"/>
        <w:rPr>
          <w:rFonts w:ascii="Arial"/>
          <w:b/>
          <w:sz w:val="16"/>
        </w:rPr>
      </w:pPr>
    </w:p>
    <w:p w14:paraId="6BA7E31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EB77740" w14:textId="77777777" w:rsidR="00847077" w:rsidRPr="00847077" w:rsidRDefault="00847077" w:rsidP="00847077">
      <w:pPr>
        <w:pStyle w:val="ListParagraph"/>
        <w:numPr>
          <w:ilvl w:val="0"/>
          <w:numId w:val="3"/>
        </w:numPr>
        <w:rPr>
          <w:sz w:val="18"/>
        </w:rPr>
      </w:pPr>
      <w:r w:rsidRPr="00847077">
        <w:rPr>
          <w:sz w:val="18"/>
        </w:rPr>
        <w:t xml:space="preserve">Almeida A, Roberts A. Bone involvement in sickle cell disease. Br J </w:t>
      </w:r>
      <w:proofErr w:type="spellStart"/>
      <w:r w:rsidRPr="00847077">
        <w:rPr>
          <w:sz w:val="18"/>
        </w:rPr>
        <w:t>Haematol</w:t>
      </w:r>
      <w:proofErr w:type="spellEnd"/>
      <w:r w:rsidRPr="00847077">
        <w:rPr>
          <w:sz w:val="18"/>
        </w:rPr>
        <w:t xml:space="preserve"> 2005;129, 482-490. </w:t>
      </w:r>
    </w:p>
    <w:p w14:paraId="6E4BFBAA" w14:textId="77777777" w:rsidR="00757501" w:rsidRPr="00757501" w:rsidRDefault="00757501" w:rsidP="00757501">
      <w:pPr>
        <w:pStyle w:val="ListParagraph"/>
        <w:numPr>
          <w:ilvl w:val="0"/>
          <w:numId w:val="3"/>
        </w:numPr>
        <w:rPr>
          <w:sz w:val="18"/>
        </w:rPr>
      </w:pPr>
      <w:r w:rsidRPr="00757501">
        <w:rPr>
          <w:sz w:val="18"/>
        </w:rPr>
        <w:t xml:space="preserve">Winter SF, </w:t>
      </w:r>
      <w:proofErr w:type="spellStart"/>
      <w:r w:rsidRPr="00757501">
        <w:rPr>
          <w:sz w:val="18"/>
        </w:rPr>
        <w:t>Santaguida</w:t>
      </w:r>
      <w:proofErr w:type="spellEnd"/>
      <w:r w:rsidRPr="00757501">
        <w:rPr>
          <w:sz w:val="18"/>
        </w:rPr>
        <w:t xml:space="preserve"> C, Wong J, et al. Systemic and Topical Use of Tranexamic Acid in Spinal Surgery: A Systematic Review. Global Spine J </w:t>
      </w:r>
      <w:proofErr w:type="gramStart"/>
      <w:r w:rsidRPr="00757501">
        <w:rPr>
          <w:sz w:val="18"/>
        </w:rPr>
        <w:t>2016;6:284</w:t>
      </w:r>
      <w:proofErr w:type="gramEnd"/>
      <w:r w:rsidRPr="00757501">
        <w:rPr>
          <w:sz w:val="18"/>
        </w:rPr>
        <w:t>–295.</w:t>
      </w:r>
    </w:p>
    <w:p w14:paraId="6B764852" w14:textId="77777777" w:rsidR="00D3767F" w:rsidRDefault="0027064A" w:rsidP="00785123">
      <w:pPr>
        <w:pStyle w:val="ListParagraph"/>
        <w:numPr>
          <w:ilvl w:val="0"/>
          <w:numId w:val="3"/>
        </w:numPr>
        <w:rPr>
          <w:sz w:val="18"/>
        </w:rPr>
      </w:pPr>
      <w:proofErr w:type="spellStart"/>
      <w:r w:rsidRPr="0027064A">
        <w:rPr>
          <w:sz w:val="18"/>
        </w:rPr>
        <w:t>Elwatidy</w:t>
      </w:r>
      <w:proofErr w:type="spellEnd"/>
      <w:r w:rsidRPr="0027064A">
        <w:rPr>
          <w:sz w:val="18"/>
        </w:rPr>
        <w:t xml:space="preserve"> S, </w:t>
      </w:r>
      <w:proofErr w:type="spellStart"/>
      <w:r w:rsidRPr="0027064A">
        <w:rPr>
          <w:sz w:val="18"/>
        </w:rPr>
        <w:t>Jamjoom</w:t>
      </w:r>
      <w:proofErr w:type="spellEnd"/>
      <w:r w:rsidRPr="0027064A">
        <w:rPr>
          <w:sz w:val="18"/>
        </w:rPr>
        <w:t xml:space="preserve"> Z, </w:t>
      </w:r>
      <w:proofErr w:type="spellStart"/>
      <w:r w:rsidRPr="0027064A">
        <w:rPr>
          <w:sz w:val="18"/>
        </w:rPr>
        <w:t>Elgamal</w:t>
      </w:r>
      <w:proofErr w:type="spellEnd"/>
      <w:r w:rsidRPr="0027064A">
        <w:rPr>
          <w:sz w:val="18"/>
        </w:rPr>
        <w:t xml:space="preserve"> E, et al. Efficacy and safety of prophylactic large dose of tranexamic acid in spine surgery: a prospective, randomized, double-blind, placebo-controlled study. Spine (Phila Pa 1976) 2008;33(24):2577–2580. </w:t>
      </w:r>
    </w:p>
    <w:p w14:paraId="3CE430E1" w14:textId="46D16E03" w:rsidR="00785123" w:rsidRPr="00785123" w:rsidRDefault="00785123" w:rsidP="00785123">
      <w:pPr>
        <w:pStyle w:val="ListParagraph"/>
        <w:numPr>
          <w:ilvl w:val="0"/>
          <w:numId w:val="3"/>
        </w:numPr>
        <w:rPr>
          <w:sz w:val="18"/>
        </w:rPr>
      </w:pPr>
      <w:r w:rsidRPr="00785123">
        <w:rPr>
          <w:sz w:val="18"/>
        </w:rPr>
        <w:t xml:space="preserve">Davis NF, McGuire BB, Lawlor L, et al. Oral tranexamic acid as a novel treatment option for persistent </w:t>
      </w:r>
      <w:proofErr w:type="spellStart"/>
      <w:r w:rsidRPr="00785123">
        <w:rPr>
          <w:sz w:val="18"/>
        </w:rPr>
        <w:t>haematuria</w:t>
      </w:r>
      <w:proofErr w:type="spellEnd"/>
      <w:r w:rsidRPr="00785123">
        <w:rPr>
          <w:sz w:val="18"/>
        </w:rPr>
        <w:t xml:space="preserve"> in patients with sickle cell disease. Ann </w:t>
      </w:r>
      <w:proofErr w:type="spellStart"/>
      <w:r w:rsidRPr="00785123">
        <w:rPr>
          <w:sz w:val="18"/>
        </w:rPr>
        <w:t>Hematol</w:t>
      </w:r>
      <w:proofErr w:type="spellEnd"/>
      <w:r w:rsidRPr="00785123">
        <w:rPr>
          <w:sz w:val="18"/>
        </w:rPr>
        <w:t xml:space="preserve"> 2010;89(11):1179-80.</w:t>
      </w:r>
    </w:p>
    <w:p w14:paraId="00AE350A" w14:textId="180C47AB"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D3767F" w:rsidRPr="00D3767F">
        <w:rPr>
          <w:rFonts w:ascii="Calibri" w:hAnsi="Calibri"/>
        </w:rPr>
        <w:t>Roter</w:t>
      </w:r>
      <w:proofErr w:type="spellEnd"/>
      <w:r w:rsidR="00D3767F" w:rsidRPr="00D3767F">
        <w:rPr>
          <w:rFonts w:ascii="Calibri" w:hAnsi="Calibri"/>
        </w:rPr>
        <w:t xml:space="preserve"> E, </w:t>
      </w:r>
      <w:proofErr w:type="spellStart"/>
      <w:r w:rsidR="00D3767F" w:rsidRPr="00D3767F">
        <w:rPr>
          <w:rFonts w:ascii="Calibri" w:hAnsi="Calibri"/>
        </w:rPr>
        <w:t>Bertolizio</w:t>
      </w:r>
      <w:proofErr w:type="spellEnd"/>
      <w:r w:rsidR="00D3767F" w:rsidRPr="00D3767F">
        <w:rPr>
          <w:rFonts w:ascii="Calibri" w:hAnsi="Calibri"/>
        </w:rPr>
        <w:t xml:space="preserve"> G, Collard V, et al. Use of tranexamic acid in an uncommon triad: </w:t>
      </w:r>
      <w:proofErr w:type="spellStart"/>
      <w:r w:rsidR="00D3767F" w:rsidRPr="00D3767F">
        <w:rPr>
          <w:rFonts w:ascii="Calibri" w:hAnsi="Calibri"/>
        </w:rPr>
        <w:t>haemorrhagic</w:t>
      </w:r>
      <w:proofErr w:type="spellEnd"/>
      <w:r w:rsidR="00D3767F" w:rsidRPr="00D3767F">
        <w:rPr>
          <w:rFonts w:ascii="Calibri" w:hAnsi="Calibri"/>
        </w:rPr>
        <w:t xml:space="preserve"> stroke, sickle cell disease and severe coagulopathy. J </w:t>
      </w:r>
      <w:proofErr w:type="spellStart"/>
      <w:r w:rsidR="00D3767F" w:rsidRPr="00D3767F">
        <w:rPr>
          <w:rFonts w:ascii="Calibri" w:hAnsi="Calibri"/>
        </w:rPr>
        <w:t>Pediatr</w:t>
      </w:r>
      <w:proofErr w:type="spellEnd"/>
      <w:r w:rsidR="00D3767F" w:rsidRPr="00D3767F">
        <w:rPr>
          <w:rFonts w:ascii="Calibri" w:hAnsi="Calibri"/>
        </w:rPr>
        <w:t xml:space="preserve"> </w:t>
      </w:r>
      <w:proofErr w:type="spellStart"/>
      <w:r w:rsidR="00D3767F" w:rsidRPr="00D3767F">
        <w:rPr>
          <w:rFonts w:ascii="Calibri" w:hAnsi="Calibri"/>
        </w:rPr>
        <w:t>Hematol</w:t>
      </w:r>
      <w:proofErr w:type="spellEnd"/>
      <w:r w:rsidR="00D3767F" w:rsidRPr="00D3767F">
        <w:rPr>
          <w:rFonts w:ascii="Calibri" w:hAnsi="Calibri"/>
        </w:rPr>
        <w:t xml:space="preserve"> Oncol 2019;41(2):161-2.</w:t>
      </w:r>
    </w:p>
    <w:p w14:paraId="363562A7" w14:textId="77777777" w:rsidR="00AE3E37" w:rsidRPr="008756E6" w:rsidRDefault="00AE3E37" w:rsidP="008756E6">
      <w:pPr>
        <w:tabs>
          <w:tab w:val="left" w:pos="384"/>
        </w:tabs>
        <w:ind w:right="117"/>
      </w:pPr>
    </w:p>
    <w:p w14:paraId="391665F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530DCD"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C452D1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34269C" wp14:editId="35BA101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1560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E0A1D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3E07AE33" wp14:editId="47B2B9B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8AE0CBF" w14:textId="50F4DBDE" w:rsidR="00AE3E37" w:rsidRDefault="00F00D51">
      <w:pPr>
        <w:spacing w:before="41" w:line="154" w:lineRule="exact"/>
        <w:ind w:left="213" w:right="231"/>
        <w:jc w:val="both"/>
        <w:rPr>
          <w:rFonts w:ascii="Arial"/>
          <w:sz w:val="14"/>
        </w:rPr>
      </w:pPr>
      <w:r w:rsidRPr="00F00D51">
        <w:rPr>
          <w:rFonts w:ascii="Arial"/>
          <w:sz w:val="14"/>
        </w:rPr>
        <w:t xml:space="preserve">Millie is a 5th year medical student who has a passion in developing in the area of spine research under the supervision of </w:t>
      </w:r>
      <w:proofErr w:type="spellStart"/>
      <w:r w:rsidRPr="00F00D51">
        <w:rPr>
          <w:rFonts w:ascii="Arial"/>
          <w:sz w:val="14"/>
        </w:rPr>
        <w:t>Mr</w:t>
      </w:r>
      <w:proofErr w:type="spellEnd"/>
      <w:r w:rsidRPr="00F00D51">
        <w:rPr>
          <w:rFonts w:ascii="Arial"/>
          <w:sz w:val="14"/>
        </w:rPr>
        <w:t xml:space="preserve"> Darren F. Lui. </w:t>
      </w:r>
      <w:proofErr w:type="spellStart"/>
      <w:r w:rsidRPr="00F00D51">
        <w:rPr>
          <w:rFonts w:ascii="Arial"/>
          <w:sz w:val="14"/>
        </w:rPr>
        <w:t>Mr</w:t>
      </w:r>
      <w:proofErr w:type="spellEnd"/>
      <w:r w:rsidRPr="00F00D51">
        <w:rPr>
          <w:rFonts w:ascii="Arial"/>
          <w:sz w:val="14"/>
        </w:rPr>
        <w:t xml:space="preserve"> Darren F. Lui is a Consultant spinal surgeon who deals with the entire breadth of complex spinal problems from deformity, trauma and cancer. He also </w:t>
      </w:r>
      <w:proofErr w:type="spellStart"/>
      <w:r w:rsidRPr="00F00D51">
        <w:rPr>
          <w:rFonts w:ascii="Arial"/>
          <w:sz w:val="14"/>
        </w:rPr>
        <w:t>specialises</w:t>
      </w:r>
      <w:proofErr w:type="spellEnd"/>
      <w:r w:rsidRPr="00F00D51">
        <w:rPr>
          <w:rFonts w:ascii="Arial"/>
          <w:sz w:val="14"/>
        </w:rPr>
        <w:t xml:space="preserve"> in adolescent &amp; </w:t>
      </w:r>
      <w:proofErr w:type="spellStart"/>
      <w:r w:rsidRPr="00F00D51">
        <w:rPr>
          <w:rFonts w:ascii="Arial"/>
          <w:sz w:val="14"/>
        </w:rPr>
        <w:t>paediatric</w:t>
      </w:r>
      <w:proofErr w:type="spellEnd"/>
      <w:r w:rsidRPr="00F00D51">
        <w:rPr>
          <w:rFonts w:ascii="Arial"/>
          <w:sz w:val="14"/>
        </w:rPr>
        <w:t xml:space="preserve"> deformity surgery such as scoliosis and kyphosis/</w:t>
      </w:r>
      <w:proofErr w:type="spellStart"/>
      <w:r w:rsidRPr="00F00D51">
        <w:rPr>
          <w:rFonts w:ascii="Arial"/>
          <w:sz w:val="14"/>
        </w:rPr>
        <w:t>Scheuremann</w:t>
      </w:r>
      <w:r w:rsidRPr="00F00D51">
        <w:rPr>
          <w:rFonts w:ascii="Arial"/>
          <w:sz w:val="14"/>
        </w:rPr>
        <w:t>’</w:t>
      </w:r>
      <w:r w:rsidRPr="00F00D51">
        <w:rPr>
          <w:rFonts w:ascii="Arial"/>
          <w:sz w:val="14"/>
        </w:rPr>
        <w:t>s</w:t>
      </w:r>
      <w:proofErr w:type="spellEnd"/>
      <w:r w:rsidR="00A9710C">
        <w:rPr>
          <w:rFonts w:ascii="Arial"/>
          <w:sz w:val="14"/>
        </w:rPr>
        <w:t>.</w:t>
      </w:r>
    </w:p>
    <w:p w14:paraId="782BF298" w14:textId="06F0EBD1" w:rsidR="00AE3E37" w:rsidRDefault="00A9710C">
      <w:pPr>
        <w:spacing w:before="62"/>
        <w:ind w:left="4217" w:right="4235"/>
        <w:jc w:val="center"/>
        <w:rPr>
          <w:rFonts w:ascii="Arial"/>
          <w:sz w:val="14"/>
        </w:rPr>
      </w:pPr>
      <w:r>
        <w:rPr>
          <w:rFonts w:ascii="Arial"/>
          <w:sz w:val="14"/>
        </w:rPr>
        <w:t xml:space="preserve">Email: </w:t>
      </w:r>
      <w:r w:rsidR="00745F9C" w:rsidRPr="00745F9C">
        <w:rPr>
          <w:rFonts w:ascii="Arial"/>
          <w:sz w:val="14"/>
        </w:rPr>
        <w:t>millie</w:t>
      </w:r>
      <w:r w:rsidR="00745F9C">
        <w:rPr>
          <w:rFonts w:ascii="Arial"/>
          <w:sz w:val="14"/>
        </w:rPr>
        <w:t>.newall@yahoo.com</w:t>
      </w:r>
    </w:p>
    <w:p w14:paraId="4906B10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8A62A4" wp14:editId="0DF6EEE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7FD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0C2EEB4" w14:textId="77777777" w:rsidR="00AE3E37" w:rsidRDefault="00AE3E37">
      <w:pPr>
        <w:pStyle w:val="BodyText"/>
        <w:rPr>
          <w:rFonts w:ascii="Arial"/>
          <w:sz w:val="20"/>
        </w:rPr>
      </w:pPr>
    </w:p>
    <w:p w14:paraId="714C44F5" w14:textId="77777777" w:rsidR="00AE3E37" w:rsidRDefault="00AE3E37">
      <w:pPr>
        <w:pStyle w:val="BodyText"/>
        <w:rPr>
          <w:rFonts w:ascii="Arial"/>
          <w:sz w:val="20"/>
        </w:rPr>
      </w:pPr>
    </w:p>
    <w:p w14:paraId="15FE557B" w14:textId="77777777" w:rsidR="00AE3E37" w:rsidRDefault="00AE3E37">
      <w:pPr>
        <w:pStyle w:val="BodyText"/>
        <w:spacing w:before="7"/>
        <w:rPr>
          <w:rFonts w:ascii="Arial"/>
          <w:sz w:val="29"/>
        </w:rPr>
      </w:pPr>
    </w:p>
    <w:p w14:paraId="0986C612" w14:textId="0B15ED60" w:rsidR="00AE3E37" w:rsidRPr="00AF6707" w:rsidRDefault="00A9710C" w:rsidP="00AF6707">
      <w:pPr>
        <w:spacing w:before="39"/>
        <w:ind w:left="100"/>
        <w:rPr>
          <w:rFonts w:ascii="Minion Pro"/>
          <w:b/>
          <w:sz w:val="20"/>
        </w:rPr>
        <w:sectPr w:rsidR="00AE3E37" w:rsidRPr="00AF6707">
          <w:type w:val="continuous"/>
          <w:pgSz w:w="11910" w:h="16840"/>
          <w:pgMar w:top="1740" w:right="600" w:bottom="840" w:left="620" w:header="720" w:footer="720" w:gutter="0"/>
          <w:cols w:space="720"/>
        </w:sectPr>
      </w:pPr>
      <w:r w:rsidRPr="00B21A57">
        <w:rPr>
          <w:rFonts w:ascii="Minion Pro"/>
          <w:b/>
          <w:sz w:val="20"/>
        </w:rPr>
        <w:t>Notes/Comments:</w:t>
      </w:r>
    </w:p>
    <w:p w14:paraId="12694AB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F489D" w14:textId="77777777" w:rsidR="00D0461E" w:rsidRDefault="00D0461E">
      <w:r>
        <w:separator/>
      </w:r>
    </w:p>
  </w:endnote>
  <w:endnote w:type="continuationSeparator" w:id="0">
    <w:p w14:paraId="26D835BA" w14:textId="77777777" w:rsidR="00D0461E" w:rsidRDefault="00D04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70C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8E83A7" wp14:editId="2C5D56B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17C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DE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E83A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C117C6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DE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3D3808C" wp14:editId="33F72F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151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FDF9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3808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D3151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FDF9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F2E854" wp14:editId="7DC7B2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A982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B28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2E85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7DA982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B28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16F4C" w14:textId="77777777" w:rsidR="00D0461E" w:rsidRDefault="00D0461E">
      <w:r>
        <w:separator/>
      </w:r>
    </w:p>
  </w:footnote>
  <w:footnote w:type="continuationSeparator" w:id="0">
    <w:p w14:paraId="0FB94482" w14:textId="77777777" w:rsidR="00D0461E" w:rsidRDefault="00D04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7F94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FA1829" wp14:editId="777DA77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C975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A182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10C975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A8DB65A" wp14:editId="199970F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A3C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EC51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DB65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BAA3CD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EC51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7064A"/>
    <w:rsid w:val="00292ED9"/>
    <w:rsid w:val="00314AFB"/>
    <w:rsid w:val="003B76D9"/>
    <w:rsid w:val="00404E5B"/>
    <w:rsid w:val="00414F7B"/>
    <w:rsid w:val="004355DC"/>
    <w:rsid w:val="004749B4"/>
    <w:rsid w:val="00494130"/>
    <w:rsid w:val="004F3523"/>
    <w:rsid w:val="005973B9"/>
    <w:rsid w:val="005B3A56"/>
    <w:rsid w:val="006060CE"/>
    <w:rsid w:val="0063497F"/>
    <w:rsid w:val="00745F9C"/>
    <w:rsid w:val="00757501"/>
    <w:rsid w:val="00785123"/>
    <w:rsid w:val="0078738A"/>
    <w:rsid w:val="00847077"/>
    <w:rsid w:val="00873DF0"/>
    <w:rsid w:val="008756E6"/>
    <w:rsid w:val="00883C55"/>
    <w:rsid w:val="009B2D44"/>
    <w:rsid w:val="00A008EE"/>
    <w:rsid w:val="00A07E82"/>
    <w:rsid w:val="00A9710C"/>
    <w:rsid w:val="00AE3E37"/>
    <w:rsid w:val="00AF6707"/>
    <w:rsid w:val="00B21A57"/>
    <w:rsid w:val="00C33602"/>
    <w:rsid w:val="00CD6F55"/>
    <w:rsid w:val="00D0461E"/>
    <w:rsid w:val="00D30AA4"/>
    <w:rsid w:val="00D3767F"/>
    <w:rsid w:val="00D62425"/>
    <w:rsid w:val="00DE3104"/>
    <w:rsid w:val="00F00D5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011D1"/>
  <w15:docId w15:val="{08C1AD1A-93FC-446B-8E8F-2086D963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0DEB307B28ED4C8F5693BE4D1BFA9E" ma:contentTypeVersion="9" ma:contentTypeDescription="Create a new document." ma:contentTypeScope="" ma:versionID="c83516f14a4c2757b64af3b06f1c8381">
  <xsd:schema xmlns:xsd="http://www.w3.org/2001/XMLSchema" xmlns:xs="http://www.w3.org/2001/XMLSchema" xmlns:p="http://schemas.microsoft.com/office/2006/metadata/properties" xmlns:ns3="8241c171-2063-48fd-93f6-e9605d74aabf" targetNamespace="http://schemas.microsoft.com/office/2006/metadata/properties" ma:root="true" ma:fieldsID="8bb70a8bd09cc24db82c0d9e0629d5f8" ns3:_="">
    <xsd:import namespace="8241c171-2063-48fd-93f6-e9605d74aa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c171-2063-48fd-93f6-e9605d74aab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C19EF-EEA4-45ED-A28C-14DD10B5A0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E1E3AD-3451-4A77-B50E-96791E946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c171-2063-48fd-93f6-e9605d74a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25B3E3-AA86-49A7-85F3-3BA5C96414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Millie Newall</cp:lastModifiedBy>
  <cp:revision>11</cp:revision>
  <dcterms:created xsi:type="dcterms:W3CDTF">2020-09-13T13:01:00Z</dcterms:created>
  <dcterms:modified xsi:type="dcterms:W3CDTF">2020-09-13T14:08:00Z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0x010100DE0DEB307B28ED4C8F5693BE4D1BFA9E</vt:lpwstr>
  </property>
</Properties>
</file>