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40F477" w14:textId="5E4565E3" w:rsidR="00AE3E37" w:rsidRDefault="00E24208" w:rsidP="00494130">
      <w:pPr>
        <w:pStyle w:val="Ttulo1"/>
        <w:spacing w:before="170"/>
        <w:ind w:left="0"/>
      </w:pPr>
      <w:r>
        <w:rPr>
          <w:color w:val="337AB7"/>
        </w:rPr>
        <w:t>Follow-up to a Grisel Syndrome case: A case report and literature</w:t>
      </w:r>
      <w:r w:rsidR="003023DE">
        <w:rPr>
          <w:color w:val="337AB7"/>
        </w:rPr>
        <w:t xml:space="preserve"> review</w:t>
      </w:r>
    </w:p>
    <w:p w14:paraId="0A40F478" w14:textId="6880715B" w:rsidR="0078738A" w:rsidRPr="00E41D8A" w:rsidRDefault="0078738A" w:rsidP="005973B9">
      <w:pPr>
        <w:pStyle w:val="Textoindependiente"/>
        <w:spacing w:before="73" w:line="198" w:lineRule="exact"/>
        <w:ind w:left="100" w:right="5987"/>
        <w:rPr>
          <w:rFonts w:ascii="Arial"/>
          <w:lang w:val="es-CO"/>
        </w:rPr>
      </w:pPr>
      <w:proofErr w:type="spellStart"/>
      <w:r w:rsidRPr="00E41D8A">
        <w:rPr>
          <w:rFonts w:ascii="Arial"/>
          <w:lang w:val="es-CO"/>
        </w:rPr>
        <w:t>Dr</w:t>
      </w:r>
      <w:proofErr w:type="spellEnd"/>
      <w:r w:rsidRPr="00E41D8A">
        <w:rPr>
          <w:rFonts w:ascii="Arial"/>
          <w:lang w:val="es-CO"/>
        </w:rPr>
        <w:t xml:space="preserve"> </w:t>
      </w:r>
      <w:r w:rsidR="0021792B" w:rsidRPr="00E41D8A">
        <w:rPr>
          <w:rFonts w:ascii="Arial"/>
          <w:lang w:val="es-CO"/>
        </w:rPr>
        <w:t>Fernando Alvarado</w:t>
      </w:r>
      <w:r w:rsidR="005973B9" w:rsidRPr="00E41D8A">
        <w:rPr>
          <w:rFonts w:ascii="Arial"/>
          <w:lang w:val="es-CO"/>
        </w:rPr>
        <w:t>,</w:t>
      </w:r>
      <w:r w:rsidR="00780269" w:rsidRPr="00E41D8A">
        <w:rPr>
          <w:rFonts w:ascii="Arial"/>
          <w:lang w:val="es-CO"/>
        </w:rPr>
        <w:t xml:space="preserve"> MD</w:t>
      </w:r>
      <w:r w:rsidR="005973B9" w:rsidRPr="00E41D8A">
        <w:rPr>
          <w:rFonts w:ascii="Arial"/>
          <w:lang w:val="es-CO"/>
        </w:rPr>
        <w:t xml:space="preserve">, </w:t>
      </w:r>
      <w:r w:rsidR="00780269" w:rsidRPr="00E41D8A">
        <w:rPr>
          <w:rFonts w:ascii="Arial"/>
          <w:lang w:val="es-CO"/>
        </w:rPr>
        <w:t>Hospital Universitario</w:t>
      </w:r>
      <w:r w:rsidR="000C2386" w:rsidRPr="00E41D8A">
        <w:rPr>
          <w:rFonts w:ascii="Arial"/>
          <w:lang w:val="es-CO"/>
        </w:rPr>
        <w:t xml:space="preserve"> </w:t>
      </w:r>
      <w:r w:rsidR="00780269" w:rsidRPr="00E41D8A">
        <w:rPr>
          <w:rFonts w:ascii="Arial"/>
          <w:lang w:val="es-CO"/>
        </w:rPr>
        <w:t>Fundaci</w:t>
      </w:r>
      <w:r w:rsidR="000C2386" w:rsidRPr="00E41D8A">
        <w:rPr>
          <w:rFonts w:ascii="Arial"/>
          <w:lang w:val="es-CO"/>
        </w:rPr>
        <w:t>ó</w:t>
      </w:r>
      <w:r w:rsidR="000C2386" w:rsidRPr="00E41D8A">
        <w:rPr>
          <w:rFonts w:ascii="Arial"/>
          <w:lang w:val="es-CO"/>
        </w:rPr>
        <w:t>n Santa Fe de Bogot</w:t>
      </w:r>
      <w:r w:rsidR="000C2386" w:rsidRPr="00E41D8A">
        <w:rPr>
          <w:rFonts w:ascii="Arial"/>
          <w:lang w:val="es-CO"/>
        </w:rPr>
        <w:t>á</w:t>
      </w:r>
      <w:r w:rsidR="00780269" w:rsidRPr="00E41D8A">
        <w:rPr>
          <w:rFonts w:ascii="Arial"/>
          <w:lang w:val="es-CO"/>
        </w:rPr>
        <w:t>,</w:t>
      </w:r>
      <w:r w:rsidR="005973B9" w:rsidRPr="00E41D8A">
        <w:rPr>
          <w:rFonts w:ascii="Arial"/>
          <w:lang w:val="es-CO"/>
        </w:rPr>
        <w:t xml:space="preserve"> </w:t>
      </w:r>
      <w:r w:rsidR="000C2386" w:rsidRPr="00E41D8A">
        <w:rPr>
          <w:rFonts w:ascii="Arial"/>
          <w:lang w:val="es-CO"/>
        </w:rPr>
        <w:t>Colombia</w:t>
      </w:r>
    </w:p>
    <w:p w14:paraId="23F2FAB7" w14:textId="7671989C" w:rsidR="002C5124" w:rsidRDefault="0078738A" w:rsidP="00D634BA">
      <w:pPr>
        <w:pStyle w:val="Textoindependiente"/>
        <w:spacing w:before="73" w:line="198" w:lineRule="exact"/>
        <w:ind w:left="100" w:right="5987"/>
        <w:rPr>
          <w:rFonts w:ascii="Arial"/>
          <w:lang w:val="es-CO"/>
        </w:rPr>
      </w:pPr>
      <w:proofErr w:type="spellStart"/>
      <w:r w:rsidRPr="00E41D8A">
        <w:rPr>
          <w:rFonts w:ascii="Arial"/>
          <w:lang w:val="es-CO"/>
        </w:rPr>
        <w:t>Dr</w:t>
      </w:r>
      <w:proofErr w:type="spellEnd"/>
      <w:r w:rsidRPr="00E41D8A">
        <w:rPr>
          <w:rFonts w:ascii="Arial"/>
          <w:lang w:val="es-CO"/>
        </w:rPr>
        <w:t xml:space="preserve"> </w:t>
      </w:r>
      <w:r w:rsidR="00E41D8A" w:rsidRPr="00E41D8A">
        <w:rPr>
          <w:rFonts w:ascii="Arial"/>
          <w:lang w:val="es-CO"/>
        </w:rPr>
        <w:t>Ju</w:t>
      </w:r>
      <w:r w:rsidR="00E41D8A">
        <w:rPr>
          <w:rFonts w:ascii="Arial"/>
          <w:lang w:val="es-CO"/>
        </w:rPr>
        <w:t>an Montes</w:t>
      </w:r>
      <w:r w:rsidR="00F35C76" w:rsidRPr="00E41D8A">
        <w:rPr>
          <w:rFonts w:ascii="Arial"/>
          <w:lang w:val="es-CO"/>
        </w:rPr>
        <w:t xml:space="preserve">, MD, </w:t>
      </w:r>
      <w:r w:rsidR="00E202EA">
        <w:rPr>
          <w:rFonts w:ascii="Arial"/>
          <w:lang w:val="es-CO"/>
        </w:rPr>
        <w:t>Universidad El Bosque</w:t>
      </w:r>
      <w:r w:rsidR="002C5124" w:rsidRPr="002C5124">
        <w:rPr>
          <w:rFonts w:ascii="Arial"/>
          <w:lang w:val="es-CO"/>
        </w:rPr>
        <w:t>, Colombia</w:t>
      </w:r>
    </w:p>
    <w:p w14:paraId="56711B8E" w14:textId="0D5CA5ED" w:rsidR="00154330" w:rsidRPr="00154330" w:rsidRDefault="00154330" w:rsidP="00154330">
      <w:pPr>
        <w:pStyle w:val="Textoindependiente"/>
        <w:spacing w:before="73" w:line="198" w:lineRule="exact"/>
        <w:ind w:left="100" w:right="5987"/>
        <w:rPr>
          <w:rFonts w:ascii="Arial"/>
          <w:lang w:val="es-CO"/>
        </w:rPr>
      </w:pPr>
      <w:proofErr w:type="spellStart"/>
      <w:r w:rsidRPr="00154330">
        <w:rPr>
          <w:rFonts w:ascii="Arial"/>
          <w:lang w:val="es-CO"/>
        </w:rPr>
        <w:t>Dr</w:t>
      </w:r>
      <w:proofErr w:type="spellEnd"/>
      <w:r w:rsidRPr="00154330">
        <w:rPr>
          <w:rFonts w:ascii="Arial"/>
          <w:lang w:val="es-CO"/>
        </w:rPr>
        <w:t xml:space="preserve"> </w:t>
      </w:r>
      <w:r w:rsidR="00D634BA">
        <w:rPr>
          <w:rFonts w:ascii="Arial"/>
          <w:lang w:val="es-CO"/>
        </w:rPr>
        <w:t>Gina Vel</w:t>
      </w:r>
      <w:r w:rsidR="00D634BA">
        <w:rPr>
          <w:rFonts w:ascii="Arial"/>
          <w:lang w:val="es-CO"/>
        </w:rPr>
        <w:t>á</w:t>
      </w:r>
      <w:r w:rsidR="00D634BA">
        <w:rPr>
          <w:rFonts w:ascii="Arial"/>
          <w:lang w:val="es-CO"/>
        </w:rPr>
        <w:t>squez</w:t>
      </w:r>
      <w:r w:rsidRPr="00154330">
        <w:rPr>
          <w:rFonts w:ascii="Arial"/>
          <w:lang w:val="es-CO"/>
        </w:rPr>
        <w:t>, MD, Hospital Universitario Fundaci</w:t>
      </w:r>
      <w:r w:rsidRPr="00154330">
        <w:rPr>
          <w:rFonts w:ascii="Arial"/>
          <w:lang w:val="es-CO"/>
        </w:rPr>
        <w:t>ó</w:t>
      </w:r>
      <w:r w:rsidRPr="00154330">
        <w:rPr>
          <w:rFonts w:ascii="Arial"/>
          <w:lang w:val="es-CO"/>
        </w:rPr>
        <w:t>n Santa Fe de Bogot</w:t>
      </w:r>
      <w:r w:rsidRPr="00154330">
        <w:rPr>
          <w:rFonts w:ascii="Arial"/>
          <w:lang w:val="es-CO"/>
        </w:rPr>
        <w:t>á</w:t>
      </w:r>
      <w:r w:rsidRPr="00154330">
        <w:rPr>
          <w:rFonts w:ascii="Arial"/>
          <w:lang w:val="es-CO"/>
        </w:rPr>
        <w:t>, Colombia</w:t>
      </w:r>
    </w:p>
    <w:p w14:paraId="7BD50151" w14:textId="77777777" w:rsidR="002C5124" w:rsidRPr="002C5124" w:rsidRDefault="002C5124" w:rsidP="002C5124">
      <w:pPr>
        <w:pStyle w:val="Textoindependiente"/>
        <w:spacing w:before="73" w:line="198" w:lineRule="exact"/>
        <w:ind w:left="100" w:right="5987"/>
        <w:rPr>
          <w:rFonts w:ascii="Arial"/>
          <w:lang w:val="es-CO"/>
        </w:rPr>
      </w:pPr>
    </w:p>
    <w:p w14:paraId="0A40F47C" w14:textId="354AF39D" w:rsidR="002C5124" w:rsidRPr="002C5124" w:rsidRDefault="002C5124">
      <w:pPr>
        <w:rPr>
          <w:rFonts w:ascii="Arial"/>
          <w:sz w:val="21"/>
          <w:lang w:val="es-CO"/>
        </w:rPr>
        <w:sectPr w:rsidR="002C5124" w:rsidRPr="002C5124">
          <w:headerReference w:type="default" r:id="rId7"/>
          <w:footerReference w:type="default" r:id="rId8"/>
          <w:type w:val="continuous"/>
          <w:pgSz w:w="11910" w:h="16840"/>
          <w:pgMar w:top="1740" w:right="600" w:bottom="840" w:left="620" w:header="541" w:footer="642" w:gutter="0"/>
          <w:cols w:space="720"/>
        </w:sectPr>
      </w:pPr>
    </w:p>
    <w:p w14:paraId="0A40F47D" w14:textId="1B2CE8C7" w:rsidR="00AE3E37" w:rsidRDefault="00A9710C">
      <w:pPr>
        <w:pStyle w:val="Ttulo3"/>
        <w:spacing w:before="147"/>
        <w:jc w:val="both"/>
      </w:pPr>
      <w:r>
        <w:rPr>
          <w:color w:val="BF5A14"/>
        </w:rPr>
        <w:t>Abstract</w:t>
      </w:r>
      <w:r w:rsidR="00404E5B">
        <w:rPr>
          <w:color w:val="BF5A14"/>
        </w:rPr>
        <w:t xml:space="preserve"> </w:t>
      </w:r>
    </w:p>
    <w:p w14:paraId="58778690" w14:textId="77777777" w:rsidR="008749C3" w:rsidRPr="006C52FE" w:rsidRDefault="008749C3" w:rsidP="008749C3">
      <w:pPr>
        <w:pStyle w:val="Textoindependiente"/>
        <w:jc w:val="both"/>
      </w:pPr>
      <w:r w:rsidRPr="008749C3">
        <w:rPr>
          <w:b/>
          <w:bCs/>
        </w:rPr>
        <w:t>Introduction:</w:t>
      </w:r>
      <w:r w:rsidRPr="006C52FE">
        <w:t xml:space="preserve"> Nontraumatic </w:t>
      </w:r>
      <w:proofErr w:type="spellStart"/>
      <w:r w:rsidRPr="006C52FE">
        <w:t>atloaxoid</w:t>
      </w:r>
      <w:proofErr w:type="spellEnd"/>
      <w:r w:rsidRPr="006C52FE">
        <w:t xml:space="preserve"> (C1-C2) subluxation, usually secondary to an infectious or inflammatory process of the cranial or cervical region, is defined as Grisel's Syndrome. This clinical picture was first described in 1830 by Sir Charles Bell in a patient with syphilitic ulceration of the pharynx who presented with nontraumatic </w:t>
      </w:r>
      <w:proofErr w:type="spellStart"/>
      <w:r w:rsidRPr="006C52FE">
        <w:t>atloaxoid</w:t>
      </w:r>
      <w:proofErr w:type="spellEnd"/>
      <w:r w:rsidRPr="006C52FE">
        <w:t xml:space="preserve"> subluxation.</w:t>
      </w:r>
    </w:p>
    <w:p w14:paraId="7C722344" w14:textId="77777777" w:rsidR="008749C3" w:rsidRPr="006C52FE" w:rsidRDefault="008749C3" w:rsidP="008749C3">
      <w:pPr>
        <w:pStyle w:val="Textoindependiente"/>
        <w:jc w:val="both"/>
      </w:pPr>
      <w:r w:rsidRPr="008749C3">
        <w:rPr>
          <w:b/>
          <w:bCs/>
        </w:rPr>
        <w:t>Materials and methods:</w:t>
      </w:r>
      <w:r w:rsidRPr="006C52FE">
        <w:t xml:space="preserve"> This study presents a 5-year-old female patient admitted to the emergency department of our institution with a history of neck pain of 15 days of evolution, inclination to the right of the head with rotation to the left, spasms of the cervical muscles and jolting sensation behind your right ear without any history of trauma. Conservative management was started without improvement of the deformity, therefore, it was decided to take the patient to closed reduction under anesthesia, where reduction maneuvers were performed without obtaining adequate alignment. Over time, C1-C2 rotational dislocation with significant degree of rotation to the right of the C2 vertebral body with C1-C2 right facet dislocation, abnormality of the </w:t>
      </w:r>
      <w:proofErr w:type="spellStart"/>
      <w:r w:rsidRPr="006C52FE">
        <w:t>atlanto</w:t>
      </w:r>
      <w:proofErr w:type="spellEnd"/>
      <w:r w:rsidRPr="006C52FE">
        <w:t>-odontoid relationship and scoliosis is evident, at the end, He decided to perform arthrodesis through the posterior route of C1 and C2 with a good postoperative result with almost total improvement in pain as in torticollis.</w:t>
      </w:r>
    </w:p>
    <w:p w14:paraId="41BFE98E" w14:textId="77777777" w:rsidR="008749C3" w:rsidRPr="006C52FE" w:rsidRDefault="008749C3" w:rsidP="008749C3">
      <w:pPr>
        <w:pStyle w:val="Textoindependiente"/>
        <w:jc w:val="both"/>
      </w:pPr>
      <w:r w:rsidRPr="00227F34">
        <w:rPr>
          <w:b/>
          <w:bCs/>
        </w:rPr>
        <w:t>Discussion and conclusion:</w:t>
      </w:r>
      <w:r w:rsidRPr="006C52FE">
        <w:t xml:space="preserve"> The diagnosis of this pathology is mainly clinical and should be suspected in any child or patient with Down syndrome who presents with torticollis, limitations in range of motion of the neck, Cock Robin position, after a picture of rhinopharyngitis or of an otorhinolaryngology procedure. Regarding the treatment, a conservative and timely management is suggested from the moment of diagnosis focused on the reduction and stabilization of the joint, as well as control of the infectious focus, however, when this treatment fails, surgical management should be considered.</w:t>
      </w:r>
    </w:p>
    <w:p w14:paraId="0A40F47F" w14:textId="77777777" w:rsidR="00AE3E37" w:rsidRDefault="00A9710C">
      <w:pPr>
        <w:pStyle w:val="Ttulo3"/>
        <w:spacing w:before="74"/>
      </w:pPr>
      <w:r>
        <w:rPr>
          <w:b w:val="0"/>
        </w:rPr>
        <w:br w:type="column"/>
      </w:r>
      <w:r>
        <w:rPr>
          <w:color w:val="BF5A14"/>
        </w:rPr>
        <w:t>Image</w:t>
      </w:r>
    </w:p>
    <w:p w14:paraId="0A40F480" w14:textId="3DF55B34" w:rsidR="00AE3E37" w:rsidRDefault="00780819">
      <w:pPr>
        <w:pStyle w:val="Textoindependiente"/>
        <w:spacing w:before="2"/>
        <w:rPr>
          <w:rFonts w:ascii="Arial"/>
          <w:b/>
          <w:sz w:val="16"/>
        </w:rPr>
      </w:pPr>
      <w:r>
        <w:rPr>
          <w:rFonts w:ascii="Arial"/>
          <w:b/>
          <w:noProof/>
          <w:sz w:val="16"/>
        </w:rPr>
        <w:drawing>
          <wp:inline distT="0" distB="0" distL="0" distR="0" wp14:anchorId="00C8BBE4" wp14:editId="18BC113B">
            <wp:extent cx="3165475" cy="1939539"/>
            <wp:effectExtent l="0" t="0" r="0" b="381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goritmoEnglish.jpg"/>
                    <pic:cNvPicPr/>
                  </pic:nvPicPr>
                  <pic:blipFill>
                    <a:blip r:embed="rId9">
                      <a:extLst>
                        <a:ext uri="{28A0092B-C50C-407E-A947-70E740481C1C}">
                          <a14:useLocalDpi xmlns:a14="http://schemas.microsoft.com/office/drawing/2010/main" val="0"/>
                        </a:ext>
                      </a:extLst>
                    </a:blip>
                    <a:stretch>
                      <a:fillRect/>
                    </a:stretch>
                  </pic:blipFill>
                  <pic:spPr>
                    <a:xfrm>
                      <a:off x="0" y="0"/>
                      <a:ext cx="3165475" cy="1939539"/>
                    </a:xfrm>
                    <a:prstGeom prst="rect">
                      <a:avLst/>
                    </a:prstGeom>
                  </pic:spPr>
                </pic:pic>
              </a:graphicData>
            </a:graphic>
          </wp:inline>
        </w:drawing>
      </w:r>
    </w:p>
    <w:p w14:paraId="6E4A9EE3" w14:textId="77777777" w:rsidR="00AB7CB5" w:rsidRDefault="00AB7CB5" w:rsidP="00AB7CB5">
      <w:pPr>
        <w:spacing w:line="204" w:lineRule="exact"/>
        <w:jc w:val="both"/>
        <w:rPr>
          <w:rFonts w:ascii="Arial"/>
          <w:b/>
          <w:color w:val="BF5A14"/>
          <w:sz w:val="20"/>
        </w:rPr>
      </w:pPr>
      <w:r w:rsidRPr="00AB7CB5">
        <w:rPr>
          <w:rFonts w:ascii="Arial"/>
          <w:b/>
          <w:sz w:val="16"/>
          <w:szCs w:val="18"/>
        </w:rPr>
        <w:t xml:space="preserve">Figure 1: A) Cervical spine MRI - Coronal section: Dislocation of the interface joint C1-C2 on the right side with reduction of the joint space between the odontoid process plus an oblique rotational component of the C2 vertebral body. B) X-ray of the cervical spine: Evidence of C1-C2 fixation, with </w:t>
      </w:r>
      <w:proofErr w:type="spellStart"/>
      <w:r w:rsidRPr="00AB7CB5">
        <w:rPr>
          <w:rFonts w:ascii="Arial"/>
          <w:b/>
          <w:sz w:val="16"/>
          <w:szCs w:val="18"/>
        </w:rPr>
        <w:t>atlanto</w:t>
      </w:r>
      <w:proofErr w:type="spellEnd"/>
      <w:r w:rsidRPr="00AB7CB5">
        <w:rPr>
          <w:rFonts w:ascii="Arial"/>
          <w:b/>
          <w:sz w:val="16"/>
          <w:szCs w:val="18"/>
        </w:rPr>
        <w:t>-odontoid fusion, proper alignment of the cervical segment in the sagittal plane</w:t>
      </w:r>
      <w:r w:rsidR="005973B9">
        <w:rPr>
          <w:rFonts w:ascii="Arial"/>
          <w:b/>
          <w:color w:val="BF5A14"/>
          <w:sz w:val="20"/>
        </w:rPr>
        <w:br/>
      </w:r>
    </w:p>
    <w:p w14:paraId="0A40F481" w14:textId="01EDBF68" w:rsidR="005973B9" w:rsidRDefault="005973B9" w:rsidP="00AB7CB5">
      <w:pPr>
        <w:spacing w:line="204" w:lineRule="exact"/>
        <w:jc w:val="both"/>
        <w:rPr>
          <w:rFonts w:ascii="Arial"/>
          <w:b/>
          <w:sz w:val="20"/>
        </w:rPr>
      </w:pPr>
      <w:r>
        <w:rPr>
          <w:rFonts w:ascii="Arial"/>
          <w:b/>
          <w:color w:val="BF5A14"/>
          <w:sz w:val="20"/>
        </w:rPr>
        <w:t xml:space="preserve">Recent Publications </w:t>
      </w:r>
    </w:p>
    <w:p w14:paraId="18B24DEB" w14:textId="77777777" w:rsidR="00A04A06" w:rsidRDefault="00A04A06" w:rsidP="00A04A06">
      <w:pPr>
        <w:pStyle w:val="Textoindependiente"/>
        <w:numPr>
          <w:ilvl w:val="0"/>
          <w:numId w:val="6"/>
        </w:numPr>
      </w:pPr>
      <w:hyperlink r:id="rId10">
        <w:r w:rsidRPr="005B69A7">
          <w:t xml:space="preserve">Osiro S, Matusz P. Grisel’s syndrome: a comprehensive review with </w:t>
        </w:r>
      </w:hyperlink>
      <w:hyperlink r:id="rId11">
        <w:r w:rsidRPr="005B69A7">
          <w:t>focus on</w:t>
        </w:r>
      </w:hyperlink>
      <w:hyperlink r:id="rId12">
        <w:r w:rsidRPr="005B69A7">
          <w:t xml:space="preserve"> pathogenesis, natural history, and </w:t>
        </w:r>
      </w:hyperlink>
      <w:hyperlink r:id="rId13">
        <w:r w:rsidRPr="005B69A7">
          <w:t>current treatment</w:t>
        </w:r>
      </w:hyperlink>
      <w:hyperlink r:id="rId14">
        <w:r w:rsidRPr="005B69A7">
          <w:t xml:space="preserve"> options [Internet]. PubMed; 2012. Disponible en: https://pubmed.ncbi.nlm.nih.gov/22293953/</w:t>
        </w:r>
      </w:hyperlink>
    </w:p>
    <w:p w14:paraId="6D986C0F" w14:textId="780326CF" w:rsidR="00A04A06" w:rsidRPr="00DB66FD" w:rsidRDefault="00A04A06" w:rsidP="00DB66FD">
      <w:pPr>
        <w:pStyle w:val="Textoindependiente"/>
        <w:numPr>
          <w:ilvl w:val="0"/>
          <w:numId w:val="6"/>
        </w:numPr>
        <w:jc w:val="both"/>
        <w:rPr>
          <w:lang w:val="es-CO"/>
        </w:rPr>
      </w:pPr>
      <w:r w:rsidRPr="00A04A06">
        <w:t>Fernandez Cornejo V, Martinez-</w:t>
      </w:r>
      <w:proofErr w:type="spellStart"/>
      <w:r w:rsidRPr="00A04A06">
        <w:t>lage</w:t>
      </w:r>
      <w:proofErr w:type="spellEnd"/>
      <w:r w:rsidRPr="00A04A06">
        <w:t xml:space="preserve"> JF, Piqueras C. Inflammatory Atlanto-Axial Subluxation (Grisel’s Syndrome) in Children: Clinical Diagnosis and Management [Internet]. </w:t>
      </w:r>
      <w:r w:rsidRPr="00A04A06">
        <w:rPr>
          <w:lang w:val="es-CO"/>
        </w:rPr>
        <w:t xml:space="preserve">PubMed; 2003 [citado 18 de junio de 2020]. </w:t>
      </w:r>
      <w:r w:rsidRPr="00A04A06">
        <w:t xml:space="preserve">Disponible </w:t>
      </w:r>
      <w:proofErr w:type="spellStart"/>
      <w:r w:rsidRPr="00A04A06">
        <w:t>en</w:t>
      </w:r>
      <w:proofErr w:type="spellEnd"/>
      <w:r w:rsidRPr="00A04A06">
        <w:t xml:space="preserve">: </w:t>
      </w:r>
      <w:hyperlink r:id="rId15" w:history="1">
        <w:r w:rsidRPr="00DB66FD">
          <w:rPr>
            <w:rStyle w:val="Hipervnculo"/>
            <w:color w:val="auto"/>
            <w:u w:val="none"/>
          </w:rPr>
          <w:t>https://pubmed.ncbi.nlm.nih.gov/12783261/</w:t>
        </w:r>
      </w:hyperlink>
    </w:p>
    <w:p w14:paraId="52C6B55B" w14:textId="59D82AC7" w:rsidR="00A04A06" w:rsidRPr="00DB66FD" w:rsidRDefault="00A04A06" w:rsidP="00DB66FD">
      <w:pPr>
        <w:pStyle w:val="Textoindependiente"/>
        <w:numPr>
          <w:ilvl w:val="0"/>
          <w:numId w:val="6"/>
        </w:numPr>
        <w:jc w:val="both"/>
        <w:rPr>
          <w:lang w:val="es-CO"/>
        </w:rPr>
      </w:pPr>
      <w:proofErr w:type="spellStart"/>
      <w:r w:rsidRPr="00DB66FD">
        <w:t>Bucak</w:t>
      </w:r>
      <w:proofErr w:type="spellEnd"/>
      <w:r w:rsidRPr="00DB66FD">
        <w:t xml:space="preserve"> A, Ulu S, Kacar E. Grisel’s Syndrome: A Rare Complication following Adenotonsillectomy [Internet]. </w:t>
      </w:r>
      <w:r w:rsidRPr="00DB66FD">
        <w:rPr>
          <w:lang w:val="es-CO"/>
        </w:rPr>
        <w:t xml:space="preserve">NCBI; 2014 [citado 18 de junio de 2020]. Disponible en: </w:t>
      </w:r>
      <w:hyperlink r:id="rId16" w:history="1">
        <w:r w:rsidRPr="00DB66FD">
          <w:rPr>
            <w:rStyle w:val="Hipervnculo"/>
            <w:color w:val="auto"/>
            <w:u w:val="none"/>
            <w:lang w:val="es-CO"/>
          </w:rPr>
          <w:t>https://www.ncbi.nlm.nih.gov/pmc/articles/PMC3982280/</w:t>
        </w:r>
      </w:hyperlink>
    </w:p>
    <w:p w14:paraId="48AC766A" w14:textId="6E3C3DB5" w:rsidR="00A04A06" w:rsidRPr="00DB66FD" w:rsidRDefault="00A04A06" w:rsidP="00DB66FD">
      <w:pPr>
        <w:pStyle w:val="Textoindependiente"/>
        <w:numPr>
          <w:ilvl w:val="0"/>
          <w:numId w:val="6"/>
        </w:numPr>
        <w:jc w:val="both"/>
        <w:rPr>
          <w:lang w:val="es-CO"/>
        </w:rPr>
      </w:pPr>
      <w:hyperlink r:id="rId17">
        <w:r w:rsidRPr="00DB66FD">
          <w:rPr>
            <w:lang w:val="es-CO"/>
          </w:rPr>
          <w:t xml:space="preserve">Dominguez-Carrillo LG, Trujillo-Servin M. Síndrome de Grisel, luxación rotatoria atlanto-axoidea [Internet]. Acta </w:t>
        </w:r>
      </w:hyperlink>
      <w:hyperlink r:id="rId18">
        <w:r w:rsidRPr="00DB66FD">
          <w:rPr>
            <w:lang w:val="es-CO"/>
          </w:rPr>
          <w:t>Médica</w:t>
        </w:r>
      </w:hyperlink>
      <w:hyperlink r:id="rId19">
        <w:r w:rsidRPr="00DB66FD">
          <w:rPr>
            <w:lang w:val="es-CO"/>
          </w:rPr>
          <w:t xml:space="preserve"> Grupo </w:t>
        </w:r>
      </w:hyperlink>
      <w:hyperlink r:id="rId20">
        <w:r w:rsidRPr="00DB66FD">
          <w:rPr>
            <w:lang w:val="es-CO"/>
          </w:rPr>
          <w:t>Ángeles</w:t>
        </w:r>
      </w:hyperlink>
      <w:r w:rsidRPr="00DB66FD">
        <w:rPr>
          <w:lang w:val="es-CO"/>
        </w:rPr>
        <w:t xml:space="preserve">; 2005 [citado 18 de junio de 2020]. Disponible en: </w:t>
      </w:r>
      <w:hyperlink r:id="rId21" w:history="1">
        <w:r w:rsidRPr="00DB66FD">
          <w:rPr>
            <w:rStyle w:val="Hipervnculo"/>
            <w:color w:val="auto"/>
            <w:u w:val="none"/>
            <w:lang w:val="es-CO"/>
          </w:rPr>
          <w:t>https://www.medigraphic.com/pdfs/actmed/am-2005/am052e.pdf</w:t>
        </w:r>
      </w:hyperlink>
    </w:p>
    <w:p w14:paraId="6F226902" w14:textId="77777777" w:rsidR="001D1699" w:rsidRPr="00DB66FD" w:rsidRDefault="00A04A06" w:rsidP="00DB66FD">
      <w:pPr>
        <w:pStyle w:val="Textoindependiente"/>
        <w:numPr>
          <w:ilvl w:val="0"/>
          <w:numId w:val="6"/>
        </w:numPr>
        <w:jc w:val="both"/>
        <w:rPr>
          <w:lang w:val="es-CO"/>
        </w:rPr>
      </w:pPr>
      <w:hyperlink r:id="rId22">
        <w:r w:rsidRPr="00DB66FD">
          <w:rPr>
            <w:lang w:val="es-CO"/>
          </w:rPr>
          <w:t xml:space="preserve">Coca-Pelaz A, Vivanco-Allende A, Meilan-Martinez A. Grisel’s Syndrome as a Sequela of a Complicated Acute Mastoiditis [Internet]. Elsevier, Acta </w:t>
        </w:r>
      </w:hyperlink>
      <w:hyperlink r:id="rId23">
        <w:r w:rsidRPr="00DB66FD">
          <w:rPr>
            <w:lang w:val="es-CO"/>
          </w:rPr>
          <w:t>Otorrinolaringológica</w:t>
        </w:r>
      </w:hyperlink>
      <w:hyperlink r:id="rId24">
        <w:r w:rsidRPr="00DB66FD">
          <w:rPr>
            <w:lang w:val="es-CO"/>
          </w:rPr>
          <w:t xml:space="preserve"> Española.; 2011 [citado 18 de junio de 2020]. Disponible en: https://www.elsevier.es/en-revista-acta-otorrinolaringologica-espanola-402-articulo-grisel39s-syndrome-as-sequela-complicated-S2173573513000410</w:t>
        </w:r>
      </w:hyperlink>
    </w:p>
    <w:p w14:paraId="54724D77" w14:textId="77777777" w:rsidR="001D1699" w:rsidRPr="00DB66FD" w:rsidRDefault="001D1699" w:rsidP="00DB66FD">
      <w:pPr>
        <w:pStyle w:val="Textoindependiente"/>
        <w:numPr>
          <w:ilvl w:val="0"/>
          <w:numId w:val="6"/>
        </w:numPr>
        <w:jc w:val="both"/>
        <w:rPr>
          <w:lang w:val="es-CO"/>
        </w:rPr>
      </w:pPr>
      <w:hyperlink r:id="rId25" w:history="1">
        <w:r w:rsidRPr="00DB66FD">
          <w:rPr>
            <w:rStyle w:val="Hipervnculo"/>
            <w:color w:val="auto"/>
            <w:u w:val="none"/>
          </w:rPr>
          <w:t xml:space="preserve">Salpietro V, Polizzi A, Granata F. Upper Respiratory Tract Infection and Torticollis in Children [Internet]. </w:t>
        </w:r>
        <w:r w:rsidRPr="00DB66FD">
          <w:rPr>
            <w:rStyle w:val="Hipervnculo"/>
            <w:color w:val="auto"/>
            <w:u w:val="none"/>
            <w:lang w:val="es-CO"/>
          </w:rPr>
          <w:t>PubMed; 2012 [citado 18 de junio de 2020]. Disponible en: https://pubmed.ncbi.nlm.nih.gov/22476653/</w:t>
        </w:r>
      </w:hyperlink>
    </w:p>
    <w:p w14:paraId="3747AC47" w14:textId="77777777" w:rsidR="001D1699" w:rsidRPr="00DB66FD" w:rsidRDefault="00A04A06" w:rsidP="00DB66FD">
      <w:pPr>
        <w:pStyle w:val="Textoindependiente"/>
        <w:numPr>
          <w:ilvl w:val="0"/>
          <w:numId w:val="6"/>
        </w:numPr>
        <w:jc w:val="both"/>
        <w:rPr>
          <w:lang w:val="es-CO"/>
        </w:rPr>
      </w:pPr>
      <w:hyperlink r:id="rId26">
        <w:r w:rsidRPr="00DB66FD">
          <w:rPr>
            <w:lang w:val="pt-BR"/>
          </w:rPr>
          <w:t xml:space="preserve">Maldonado Alcocer JL, </w:t>
        </w:r>
      </w:hyperlink>
      <w:hyperlink r:id="rId27">
        <w:r w:rsidRPr="00DB66FD">
          <w:rPr>
            <w:lang w:val="pt-BR"/>
          </w:rPr>
          <w:t>Domínguez</w:t>
        </w:r>
      </w:hyperlink>
      <w:hyperlink r:id="rId28">
        <w:r w:rsidRPr="00DB66FD">
          <w:rPr>
            <w:lang w:val="pt-BR"/>
          </w:rPr>
          <w:t xml:space="preserve"> Gasca LG. </w:t>
        </w:r>
        <w:r w:rsidRPr="00DB66FD">
          <w:rPr>
            <w:lang w:val="es-CO"/>
          </w:rPr>
          <w:t>Inestabilidad atlantoaxoidea [Internet]. Scielo; 2016 [citado 18 de junio de 2020]. Disponible en: http://www.scielo.org.mx/scielo.php?script=sci_arttext&amp;pid=S1870-72032016000400235</w:t>
        </w:r>
      </w:hyperlink>
    </w:p>
    <w:p w14:paraId="64B7FE4B" w14:textId="77777777" w:rsidR="001D1699" w:rsidRPr="00DB66FD" w:rsidRDefault="00A04A06" w:rsidP="00DB66FD">
      <w:pPr>
        <w:pStyle w:val="Textoindependiente"/>
        <w:numPr>
          <w:ilvl w:val="0"/>
          <w:numId w:val="6"/>
        </w:numPr>
        <w:jc w:val="both"/>
        <w:rPr>
          <w:lang w:val="es-CO"/>
        </w:rPr>
      </w:pPr>
      <w:hyperlink r:id="rId29">
        <w:r w:rsidRPr="00DB66FD">
          <w:rPr>
            <w:lang w:val="es-CO"/>
          </w:rPr>
          <w:t xml:space="preserve">Saenz de Uturi Sanchez AV, Aguilar- Shea AL. Síndrome de Grisel: una causa grave de tortícolis [Internet]. Acta </w:t>
        </w:r>
      </w:hyperlink>
      <w:hyperlink r:id="rId30">
        <w:r w:rsidRPr="00DB66FD">
          <w:rPr>
            <w:lang w:val="es-CO"/>
          </w:rPr>
          <w:t>Pediátrica</w:t>
        </w:r>
      </w:hyperlink>
      <w:hyperlink r:id="rId31">
        <w:r w:rsidRPr="00DB66FD">
          <w:rPr>
            <w:lang w:val="es-CO"/>
          </w:rPr>
          <w:t xml:space="preserve"> Española; 2017 [citado 18 de junio de 2020]. Disponible en: https://www.actapediatrica.com/index.php/secciones/notas-clinicas/1426-sindrome-de-grisel-una-causa-grave-de-torticolis#.Xu5ZQGpKg6U</w:t>
        </w:r>
      </w:hyperlink>
    </w:p>
    <w:p w14:paraId="6AB83C98" w14:textId="77777777" w:rsidR="001D1699" w:rsidRPr="00DB66FD" w:rsidRDefault="001D1699" w:rsidP="00DB66FD">
      <w:pPr>
        <w:pStyle w:val="Textoindependiente"/>
        <w:numPr>
          <w:ilvl w:val="0"/>
          <w:numId w:val="6"/>
        </w:numPr>
        <w:jc w:val="both"/>
        <w:rPr>
          <w:lang w:val="es-CO"/>
        </w:rPr>
      </w:pPr>
      <w:hyperlink r:id="rId32" w:history="1">
        <w:r w:rsidRPr="00DB66FD">
          <w:rPr>
            <w:rStyle w:val="Hipervnculo"/>
            <w:color w:val="auto"/>
            <w:u w:val="none"/>
          </w:rPr>
          <w:t xml:space="preserve">Fielding JW, Hawkins RJ. Atlantoaxial Rotary Deformities [Internet]. </w:t>
        </w:r>
        <w:r w:rsidRPr="00DB66FD">
          <w:rPr>
            <w:rStyle w:val="Hipervnculo"/>
            <w:color w:val="auto"/>
            <w:u w:val="none"/>
            <w:lang w:val="es-CO"/>
          </w:rPr>
          <w:t>PubMed; 1978 [citado 19 de junio de 2020]. Disponible en: https://pubmed.ncbi.nlm.nih.gov/740386/</w:t>
        </w:r>
      </w:hyperlink>
    </w:p>
    <w:p w14:paraId="6B824A13" w14:textId="77777777" w:rsidR="00DB66FD" w:rsidRPr="00DB66FD" w:rsidRDefault="001D1699" w:rsidP="00DB66FD">
      <w:pPr>
        <w:pStyle w:val="Textoindependiente"/>
        <w:numPr>
          <w:ilvl w:val="0"/>
          <w:numId w:val="6"/>
        </w:numPr>
        <w:jc w:val="both"/>
        <w:rPr>
          <w:lang w:val="es-CO"/>
        </w:rPr>
      </w:pPr>
      <w:hyperlink r:id="rId33" w:history="1">
        <w:r w:rsidRPr="00DB66FD">
          <w:rPr>
            <w:rStyle w:val="Hipervnculo"/>
            <w:color w:val="auto"/>
            <w:u w:val="none"/>
          </w:rPr>
          <w:t xml:space="preserve">Ghanem I, El Hage S. Pediatric cervical spine instability [Internet]. </w:t>
        </w:r>
        <w:r w:rsidRPr="00DB66FD">
          <w:rPr>
            <w:rStyle w:val="Hipervnculo"/>
            <w:color w:val="auto"/>
            <w:u w:val="none"/>
            <w:lang w:val="es-CO"/>
          </w:rPr>
          <w:t>Journal of Children’s Orthopaedics; 2008 [citado 20 de junio de 2020]. Disponible en: https://www.researchgate.net/publication/24221789_Pediatric_cervical_spine_instability</w:t>
        </w:r>
      </w:hyperlink>
    </w:p>
    <w:p w14:paraId="7D9FEAB8" w14:textId="77777777" w:rsidR="00DB66FD" w:rsidRPr="00DB66FD" w:rsidRDefault="00DB66FD" w:rsidP="00DB66FD">
      <w:pPr>
        <w:pStyle w:val="Textoindependiente"/>
        <w:numPr>
          <w:ilvl w:val="0"/>
          <w:numId w:val="6"/>
        </w:numPr>
        <w:jc w:val="both"/>
        <w:rPr>
          <w:lang w:val="es-CO"/>
        </w:rPr>
      </w:pPr>
      <w:hyperlink r:id="rId34" w:history="1">
        <w:r w:rsidRPr="00DB66FD">
          <w:rPr>
            <w:rStyle w:val="Hipervnculo"/>
            <w:color w:val="auto"/>
            <w:u w:val="none"/>
          </w:rPr>
          <w:t xml:space="preserve">Bin N, Zhuangchen Z, Zhou F. Bilateral C1 laminar hooks </w:t>
        </w:r>
        <w:r w:rsidRPr="00DB66FD">
          <w:rPr>
            <w:rStyle w:val="Hipervnculo"/>
            <w:color w:val="auto"/>
            <w:u w:val="none"/>
          </w:rPr>
          <w:t xml:space="preserve">combined with C2 pedicle screws fixation for treatment of C1–C2 instability not suitable for placement of transarticular screws [Internet]. </w:t>
        </w:r>
        <w:r w:rsidRPr="00DB66FD">
          <w:rPr>
            <w:rStyle w:val="Hipervnculo"/>
            <w:color w:val="auto"/>
            <w:u w:val="none"/>
            <w:lang w:val="es-CO"/>
          </w:rPr>
          <w:t>European Spine Journal; 2010 [citado 22 de junio de 2020]. Disponible en: https://link.springer.com/article/10.1007%2Fs00586-010-1365-2</w:t>
        </w:r>
      </w:hyperlink>
    </w:p>
    <w:p w14:paraId="0A40F488" w14:textId="10468D1A" w:rsidR="00AE3E37" w:rsidRPr="00DB66FD" w:rsidRDefault="00A04A06" w:rsidP="00DB66FD">
      <w:pPr>
        <w:pStyle w:val="Textoindependiente"/>
        <w:numPr>
          <w:ilvl w:val="0"/>
          <w:numId w:val="6"/>
        </w:numPr>
        <w:jc w:val="both"/>
        <w:rPr>
          <w:lang w:val="es-CO"/>
        </w:rPr>
      </w:pPr>
      <w:hyperlink r:id="rId35">
        <w:r w:rsidRPr="00DB66FD">
          <w:rPr>
            <w:lang w:val="pt-BR"/>
          </w:rPr>
          <w:t xml:space="preserve">Morales LC, Alvarado F, Corredor JA. </w:t>
        </w:r>
        <w:r w:rsidRPr="00DB66FD">
          <w:t xml:space="preserve">Bilateral C1 laminar hooks combined with C2 pedicle screw fixation </w:t>
        </w:r>
      </w:hyperlink>
      <w:hyperlink r:id="rId36">
        <w:r w:rsidRPr="00DB66FD">
          <w:t>in the</w:t>
        </w:r>
      </w:hyperlink>
      <w:hyperlink r:id="rId37">
        <w:r w:rsidRPr="00DB66FD">
          <w:t xml:space="preserve"> treatment of atlantoaxial subluxation after Grisel syndrome [Internet]. </w:t>
        </w:r>
        <w:r w:rsidRPr="00DB66FD">
          <w:rPr>
            <w:lang w:val="es-CO"/>
          </w:rPr>
          <w:t>The Spine Journal; 2016 [citado 22 de junio de 2020]. Disponible en: https://www.sciencedirect.com/science/article/abs/pii/S1529943016308671</w:t>
        </w:r>
      </w:hyperlink>
    </w:p>
    <w:p w14:paraId="0A40F489" w14:textId="77777777" w:rsidR="00AE3E37" w:rsidRPr="00A04A06" w:rsidRDefault="008756E6">
      <w:pPr>
        <w:spacing w:line="200" w:lineRule="exact"/>
        <w:jc w:val="both"/>
        <w:rPr>
          <w:rFonts w:ascii="Calibri" w:hAnsi="Calibri"/>
          <w:lang w:val="es-CO"/>
        </w:rPr>
        <w:sectPr w:rsidR="00AE3E37" w:rsidRPr="00A04A06">
          <w:type w:val="continuous"/>
          <w:pgSz w:w="11910" w:h="16840"/>
          <w:pgMar w:top="1740" w:right="600" w:bottom="840" w:left="620" w:header="720" w:footer="720" w:gutter="0"/>
          <w:cols w:num="2" w:space="720" w:equalWidth="0">
            <w:col w:w="5214" w:space="138"/>
            <w:col w:w="5338"/>
          </w:cols>
        </w:sectPr>
      </w:pPr>
      <w:r w:rsidRPr="00A04A06">
        <w:rPr>
          <w:rFonts w:ascii="Calibri" w:hAnsi="Calibri"/>
          <w:lang w:val="es-CO"/>
        </w:rPr>
        <w:t xml:space="preserve">   </w:t>
      </w:r>
    </w:p>
    <w:p w14:paraId="0A40F48A" w14:textId="77777777" w:rsidR="00AE3E37" w:rsidRPr="00D62425" w:rsidRDefault="00D62425">
      <w:pPr>
        <w:pStyle w:val="Textoindependiente"/>
        <w:rPr>
          <w:rFonts w:ascii="Calibri"/>
          <w:b/>
          <w:sz w:val="20"/>
        </w:rPr>
      </w:pPr>
      <w:r w:rsidRPr="00A04A06">
        <w:rPr>
          <w:rFonts w:ascii="Calibri"/>
          <w:sz w:val="20"/>
          <w:lang w:val="es-CO"/>
        </w:rPr>
        <w:t xml:space="preserve">                 </w:t>
      </w:r>
      <w:r w:rsidRPr="00D62425">
        <w:rPr>
          <w:rFonts w:ascii="Calibri"/>
          <w:b/>
          <w:sz w:val="20"/>
        </w:rPr>
        <w:t>Photograph</w:t>
      </w:r>
    </w:p>
    <w:p w14:paraId="0A40F48B" w14:textId="77777777" w:rsidR="00AE3E37" w:rsidRDefault="00292ED9">
      <w:pPr>
        <w:pStyle w:val="Textoindependiente"/>
        <w:spacing w:line="40" w:lineRule="exact"/>
        <w:ind w:left="2202"/>
        <w:rPr>
          <w:rFonts w:ascii="Calibri"/>
          <w:sz w:val="4"/>
        </w:rPr>
      </w:pPr>
      <w:r>
        <w:rPr>
          <w:rFonts w:ascii="Calibri"/>
          <w:noProof/>
          <w:sz w:val="4"/>
          <w:lang w:val="en-IN" w:eastAsia="en-IN"/>
        </w:rPr>
        <mc:AlternateContent>
          <mc:Choice Requires="wpg">
            <w:drawing>
              <wp:inline distT="0" distB="0" distL="0" distR="0" wp14:anchorId="0A40F498" wp14:editId="0A40F49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38E420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A40F48C" w14:textId="000AA239"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0A40F49A" wp14:editId="3AA48366">
            <wp:extent cx="630069" cy="513643"/>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38" cstate="print">
                      <a:extLst>
                        <a:ext uri="{28A0092B-C50C-407E-A947-70E740481C1C}">
                          <a14:useLocalDpi xmlns:a14="http://schemas.microsoft.com/office/drawing/2010/main" val="0"/>
                        </a:ext>
                      </a:extLst>
                    </a:blip>
                    <a:stretch>
                      <a:fillRect/>
                    </a:stretch>
                  </pic:blipFill>
                  <pic:spPr bwMode="auto">
                    <a:xfrm>
                      <a:off x="0" y="0"/>
                      <a:ext cx="630069" cy="513643"/>
                    </a:xfrm>
                    <a:prstGeom prst="rect">
                      <a:avLst/>
                    </a:prstGeom>
                    <a:noFill/>
                    <a:ln>
                      <a:noFill/>
                    </a:ln>
                  </pic:spPr>
                </pic:pic>
              </a:graphicData>
            </a:graphic>
          </wp:inline>
        </w:drawing>
      </w:r>
      <w:r w:rsidR="00A9710C">
        <w:rPr>
          <w:rFonts w:ascii="Arial"/>
          <w:color w:val="BF5A14"/>
        </w:rPr>
        <w:t>Biography</w:t>
      </w:r>
    </w:p>
    <w:p w14:paraId="0A40F48D" w14:textId="32105856"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r</w:t>
      </w:r>
      <w:r w:rsidR="00E66FFA">
        <w:rPr>
          <w:rFonts w:ascii="Arial"/>
          <w:sz w:val="14"/>
        </w:rPr>
        <w:t xml:space="preserve"> Fernando Alvarado</w:t>
      </w:r>
      <w:r w:rsidR="00C051F6">
        <w:rPr>
          <w:rFonts w:ascii="Arial"/>
          <w:sz w:val="14"/>
        </w:rPr>
        <w:t xml:space="preserve">, </w:t>
      </w:r>
      <w:r w:rsidR="00C051F6" w:rsidRPr="00C051F6">
        <w:rPr>
          <w:rFonts w:ascii="Arial"/>
          <w:sz w:val="14"/>
        </w:rPr>
        <w:t xml:space="preserve">Physician, specialist in Orthopedics and Traumatology at the Pontificia Universidad Javeriana and subspecialist in spine, </w:t>
      </w:r>
      <w:r w:rsidR="00F63FF8" w:rsidRPr="00C051F6">
        <w:rPr>
          <w:rFonts w:ascii="Arial"/>
          <w:sz w:val="14"/>
        </w:rPr>
        <w:t>pelvis,</w:t>
      </w:r>
      <w:r w:rsidR="00C051F6" w:rsidRPr="00C051F6">
        <w:rPr>
          <w:rFonts w:ascii="Arial"/>
          <w:sz w:val="14"/>
        </w:rPr>
        <w:t xml:space="preserve"> and acetabulum surgery at the Universidad </w:t>
      </w:r>
      <w:proofErr w:type="spellStart"/>
      <w:r w:rsidR="00C051F6" w:rsidRPr="00C051F6">
        <w:rPr>
          <w:rFonts w:ascii="Arial"/>
          <w:sz w:val="14"/>
        </w:rPr>
        <w:t>Militar</w:t>
      </w:r>
      <w:proofErr w:type="spellEnd"/>
      <w:r w:rsidR="00C051F6" w:rsidRPr="00C051F6">
        <w:rPr>
          <w:rFonts w:ascii="Arial"/>
          <w:sz w:val="14"/>
        </w:rPr>
        <w:t xml:space="preserve"> Nueva Granada. He has special training in pediatric spinal deformities at the Prof. Juan P. </w:t>
      </w:r>
      <w:proofErr w:type="spellStart"/>
      <w:r w:rsidR="00C051F6" w:rsidRPr="00C051F6">
        <w:rPr>
          <w:rFonts w:ascii="Arial"/>
          <w:sz w:val="14"/>
        </w:rPr>
        <w:t>Garrahan</w:t>
      </w:r>
      <w:proofErr w:type="spellEnd"/>
      <w:r w:rsidR="00C051F6" w:rsidRPr="00C051F6">
        <w:rPr>
          <w:rFonts w:ascii="Arial"/>
          <w:sz w:val="14"/>
        </w:rPr>
        <w:t xml:space="preserve"> Hospital in Buenos Aires, Argentina. Specialist in Epidemiology from the Universidad del Rosario. He is currently head of the Spine section of the HU-FSFB Orthopedics and Traumatology department. Clinical professor at the Universidad de los Andes. He is a full member of the Column Chapter of the Colombian Society of Orthopedic Surgery and Traumatology (SCCOT), member of the North American Spine Society NASS. He has been course director and lecturer for </w:t>
      </w:r>
      <w:proofErr w:type="spellStart"/>
      <w:r w:rsidR="00C051F6" w:rsidRPr="00C051F6">
        <w:rPr>
          <w:rFonts w:ascii="Arial"/>
          <w:sz w:val="14"/>
        </w:rPr>
        <w:t>AOSpine</w:t>
      </w:r>
      <w:proofErr w:type="spellEnd"/>
      <w:r w:rsidR="00C051F6">
        <w:rPr>
          <w:rFonts w:ascii="Arial"/>
          <w:sz w:val="14"/>
        </w:rPr>
        <w:t>.</w:t>
      </w:r>
    </w:p>
    <w:p w14:paraId="0A40F48E" w14:textId="500FB037" w:rsidR="00AE3E37" w:rsidRDefault="00A9710C">
      <w:pPr>
        <w:spacing w:before="62"/>
        <w:ind w:left="4217" w:right="4235"/>
        <w:jc w:val="center"/>
        <w:rPr>
          <w:rFonts w:ascii="Arial"/>
          <w:sz w:val="14"/>
        </w:rPr>
      </w:pPr>
      <w:r>
        <w:rPr>
          <w:rFonts w:ascii="Arial"/>
          <w:sz w:val="14"/>
        </w:rPr>
        <w:t xml:space="preserve">Email: </w:t>
      </w:r>
      <w:hyperlink r:id="rId39" w:history="1">
        <w:r w:rsidR="00C502EA" w:rsidRPr="00841DD8">
          <w:rPr>
            <w:rStyle w:val="Hipervnculo"/>
            <w:rFonts w:ascii="Arial"/>
            <w:sz w:val="14"/>
          </w:rPr>
          <w:t>falvaradogomez@gmail.com</w:t>
        </w:r>
      </w:hyperlink>
    </w:p>
    <w:p w14:paraId="0A40F48F" w14:textId="77777777" w:rsidR="00AE3E37" w:rsidRDefault="00292ED9">
      <w:pPr>
        <w:pStyle w:val="Textoindependiente"/>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A40F49C" wp14:editId="0A40F49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3CA7F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0A40F490" w14:textId="77777777" w:rsidR="00AE3E37" w:rsidRDefault="00AE3E37">
      <w:pPr>
        <w:pStyle w:val="Textoindependiente"/>
        <w:rPr>
          <w:rFonts w:ascii="Arial"/>
          <w:sz w:val="20"/>
        </w:rPr>
      </w:pPr>
    </w:p>
    <w:p w14:paraId="0A40F491" w14:textId="77777777" w:rsidR="00AE3E37" w:rsidRDefault="00AE3E37">
      <w:pPr>
        <w:pStyle w:val="Textoindependiente"/>
        <w:rPr>
          <w:rFonts w:ascii="Arial"/>
          <w:sz w:val="20"/>
        </w:rPr>
      </w:pPr>
    </w:p>
    <w:p w14:paraId="0A40F492" w14:textId="77777777" w:rsidR="00AE3E37" w:rsidRDefault="00AE3E37">
      <w:pPr>
        <w:pStyle w:val="Textoindependiente"/>
        <w:spacing w:before="7"/>
        <w:rPr>
          <w:rFonts w:ascii="Arial"/>
          <w:sz w:val="29"/>
        </w:rPr>
      </w:pPr>
    </w:p>
    <w:p w14:paraId="0A40F493" w14:textId="77777777" w:rsidR="00AE3E37" w:rsidRPr="00B21A57" w:rsidRDefault="00A9710C">
      <w:pPr>
        <w:spacing w:before="39"/>
        <w:ind w:left="100"/>
        <w:rPr>
          <w:rFonts w:ascii="Minion Pro"/>
          <w:b/>
          <w:sz w:val="20"/>
        </w:rPr>
      </w:pPr>
      <w:r w:rsidRPr="00B21A57">
        <w:rPr>
          <w:rFonts w:ascii="Minion Pro"/>
          <w:b/>
          <w:sz w:val="20"/>
        </w:rPr>
        <w:t>Notes/Comments:</w:t>
      </w:r>
    </w:p>
    <w:p w14:paraId="0A40F494"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A40F495" w14:textId="77777777"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40F4A0" w14:textId="77777777" w:rsidR="00F8136A" w:rsidRDefault="00F8136A">
      <w:r>
        <w:separator/>
      </w:r>
    </w:p>
  </w:endnote>
  <w:endnote w:type="continuationSeparator" w:id="0">
    <w:p w14:paraId="0A40F4A1" w14:textId="77777777" w:rsidR="00F8136A" w:rsidRDefault="00F8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altName w:val="Times New Roman PSMT"/>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2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40F4A3"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A40F4A8" wp14:editId="0A40F4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0F4B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A40F4B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40F4A8"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0A40F4B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A40F4B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A40F4AA" wp14:editId="0A40F4A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0F4B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A40F4B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0F4AA"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0A40F4B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A40F4B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A40F4AC" wp14:editId="0A40F4A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0F4B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A40F4B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0F4AC"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0A40F4B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A40F4B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40F49E" w14:textId="77777777" w:rsidR="00F8136A" w:rsidRDefault="00F8136A">
      <w:r>
        <w:separator/>
      </w:r>
    </w:p>
  </w:footnote>
  <w:footnote w:type="continuationSeparator" w:id="0">
    <w:p w14:paraId="0A40F49F" w14:textId="77777777" w:rsidR="00F8136A" w:rsidRDefault="00F81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40F4A2"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A40F4A4" wp14:editId="0A40F4A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0F4A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40F4A4"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0A40F4A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A40F4A6" wp14:editId="0A40F4A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0F4AF"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A40F4B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0F4A6"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0A40F4AF"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A40F4B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D692AED"/>
    <w:multiLevelType w:val="hybridMultilevel"/>
    <w:tmpl w:val="523AD016"/>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71923019"/>
    <w:multiLevelType w:val="hybridMultilevel"/>
    <w:tmpl w:val="C1821DD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722C5D92"/>
    <w:multiLevelType w:val="hybridMultilevel"/>
    <w:tmpl w:val="96864256"/>
    <w:lvl w:ilvl="0" w:tplc="34B680C6">
      <w:start w:val="1"/>
      <w:numFmt w:val="decimal"/>
      <w:lvlText w:val="%1."/>
      <w:lvlJc w:val="left"/>
      <w:pPr>
        <w:ind w:left="720" w:hanging="360"/>
      </w:pPr>
      <w:rPr>
        <w:rFonts w:eastAsia="Tw Cen MT"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466C6"/>
    <w:rsid w:val="000722C3"/>
    <w:rsid w:val="000C2386"/>
    <w:rsid w:val="000E2911"/>
    <w:rsid w:val="001263DF"/>
    <w:rsid w:val="00154330"/>
    <w:rsid w:val="001D1699"/>
    <w:rsid w:val="001E763C"/>
    <w:rsid w:val="001E772B"/>
    <w:rsid w:val="0021792B"/>
    <w:rsid w:val="00227F34"/>
    <w:rsid w:val="00292ED9"/>
    <w:rsid w:val="002A656B"/>
    <w:rsid w:val="002A78DE"/>
    <w:rsid w:val="002C5124"/>
    <w:rsid w:val="003023DE"/>
    <w:rsid w:val="00314AFB"/>
    <w:rsid w:val="003B76D9"/>
    <w:rsid w:val="003E4EC9"/>
    <w:rsid w:val="00404E5B"/>
    <w:rsid w:val="00414F7B"/>
    <w:rsid w:val="004355DC"/>
    <w:rsid w:val="004749B4"/>
    <w:rsid w:val="00494130"/>
    <w:rsid w:val="004F3523"/>
    <w:rsid w:val="005973B9"/>
    <w:rsid w:val="005B3A56"/>
    <w:rsid w:val="006060CE"/>
    <w:rsid w:val="0063497F"/>
    <w:rsid w:val="00780269"/>
    <w:rsid w:val="00780819"/>
    <w:rsid w:val="0078738A"/>
    <w:rsid w:val="00873DF0"/>
    <w:rsid w:val="008749C3"/>
    <w:rsid w:val="008756E6"/>
    <w:rsid w:val="00912887"/>
    <w:rsid w:val="009B244E"/>
    <w:rsid w:val="009B2D44"/>
    <w:rsid w:val="00A04A06"/>
    <w:rsid w:val="00A07E82"/>
    <w:rsid w:val="00A24557"/>
    <w:rsid w:val="00A9710C"/>
    <w:rsid w:val="00AA76D1"/>
    <w:rsid w:val="00AB7CB5"/>
    <w:rsid w:val="00AE3E37"/>
    <w:rsid w:val="00B21A57"/>
    <w:rsid w:val="00B772CA"/>
    <w:rsid w:val="00C051F6"/>
    <w:rsid w:val="00C33602"/>
    <w:rsid w:val="00C502EA"/>
    <w:rsid w:val="00CD6F55"/>
    <w:rsid w:val="00CE0567"/>
    <w:rsid w:val="00D0310A"/>
    <w:rsid w:val="00D62425"/>
    <w:rsid w:val="00D634BA"/>
    <w:rsid w:val="00D72FB5"/>
    <w:rsid w:val="00DA0736"/>
    <w:rsid w:val="00DB10EA"/>
    <w:rsid w:val="00DB66FD"/>
    <w:rsid w:val="00DE3104"/>
    <w:rsid w:val="00E202EA"/>
    <w:rsid w:val="00E24208"/>
    <w:rsid w:val="00E41D8A"/>
    <w:rsid w:val="00E5270B"/>
    <w:rsid w:val="00E573E2"/>
    <w:rsid w:val="00E66FFA"/>
    <w:rsid w:val="00E82B1A"/>
    <w:rsid w:val="00EE0BF3"/>
    <w:rsid w:val="00F35C76"/>
    <w:rsid w:val="00F63FF8"/>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A40F477"/>
  <w15:docId w15:val="{3598EA34-2F5E-4652-8882-42F1D9B37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customStyle="1" w:styleId="jrnl">
    <w:name w:val="jrnl"/>
    <w:basedOn w:val="Fuentedeprrafopredeter"/>
    <w:rsid w:val="00B772CA"/>
  </w:style>
  <w:style w:type="character" w:styleId="Mencinsinresolver">
    <w:name w:val="Unresolved Mention"/>
    <w:basedOn w:val="Fuentedeprrafopredeter"/>
    <w:uiPriority w:val="99"/>
    <w:semiHidden/>
    <w:unhideWhenUsed/>
    <w:rsid w:val="00AA76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2497013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zotero.org/google-docs/?9mTcgO" TargetMode="External"/><Relationship Id="rId18" Type="http://schemas.openxmlformats.org/officeDocument/2006/relationships/hyperlink" Target="https://www.zotero.org/google-docs/?9mTcgO" TargetMode="External"/><Relationship Id="rId26" Type="http://schemas.openxmlformats.org/officeDocument/2006/relationships/hyperlink" Target="https://www.zotero.org/google-docs/?9mTcgO" TargetMode="External"/><Relationship Id="rId39" Type="http://schemas.openxmlformats.org/officeDocument/2006/relationships/hyperlink" Target="mailto:falvaradogomez@gmail.com" TargetMode="External"/><Relationship Id="rId3" Type="http://schemas.openxmlformats.org/officeDocument/2006/relationships/settings" Target="settings.xml"/><Relationship Id="rId21" Type="http://schemas.openxmlformats.org/officeDocument/2006/relationships/hyperlink" Target="https://www.medigraphic.com/pdfs/actmed/am-2005/am052e.pdf" TargetMode="External"/><Relationship Id="rId34" Type="http://schemas.openxmlformats.org/officeDocument/2006/relationships/hyperlink" Target="Bin%20N,%20Zhuangchen%20Z,%20Zhou%20F.%20Bilateral%20C1%20laminar%20hooks%20combined%20with%20C2%20pedicle%20screws%20fixation%20for%20treatment%20of%20C1&#8211;C2%20instability%20not%20suitable%20for%20placement%20of%20transarticular%20screws%20%5bInternet%5d.%20European%20Spine%20Journal;%202010%20%5bcitado%2022%20de%20junio%20de%202020%5d.%20Disponible%20en:%20https://link.springer.com/article/10.1007%2Fs00586-010-1365-2" TargetMode="External"/><Relationship Id="rId7" Type="http://schemas.openxmlformats.org/officeDocument/2006/relationships/header" Target="header1.xml"/><Relationship Id="rId12" Type="http://schemas.openxmlformats.org/officeDocument/2006/relationships/hyperlink" Target="https://www.zotero.org/google-docs/?9mTcgO" TargetMode="External"/><Relationship Id="rId17" Type="http://schemas.openxmlformats.org/officeDocument/2006/relationships/hyperlink" Target="https://www.zotero.org/google-docs/?9mTcgO" TargetMode="External"/><Relationship Id="rId25" Type="http://schemas.openxmlformats.org/officeDocument/2006/relationships/hyperlink" Target="Salpietro%20V,%20Polizzi%20A,%20Granata%20F.%20Upper%20Respiratory%20Tract%20Infection%20and%20Torticollis%20in%20Children%20%5bInternet%5d.%20PubMed;%202012%20%5bcitado%2018%20de%20junio%20de%202020%5d.%20Disponible%20en:%20https://pubmed.ncbi.nlm.nih.gov/22476653/" TargetMode="External"/><Relationship Id="rId33" Type="http://schemas.openxmlformats.org/officeDocument/2006/relationships/hyperlink" Target="Ghanem%20I,%20El%20Hage%20S.%20Pediatric%20cervical%20spine%20instability%20%5bInternet%5d.%20Journal%20of%20Children&#8217;s%20Orthopaedics;%202008%20%5bcitado%2020%20de%20junio%20de%202020%5d.%20Disponible%20en:%20https://www.researchgate.net/publication/24221789_Pediatric_cervical_spine_instability" TargetMode="External"/><Relationship Id="rId38"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hyperlink" Target="https://www.ncbi.nlm.nih.gov/pmc/articles/PMC3982280/" TargetMode="External"/><Relationship Id="rId20" Type="http://schemas.openxmlformats.org/officeDocument/2006/relationships/hyperlink" Target="https://www.zotero.org/google-docs/?9mTcgO" TargetMode="External"/><Relationship Id="rId29" Type="http://schemas.openxmlformats.org/officeDocument/2006/relationships/hyperlink" Target="https://www.zotero.org/google-docs/?9mTcgO"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zotero.org/google-docs/?9mTcgO" TargetMode="External"/><Relationship Id="rId24" Type="http://schemas.openxmlformats.org/officeDocument/2006/relationships/hyperlink" Target="https://www.zotero.org/google-docs/?9mTcgO" TargetMode="External"/><Relationship Id="rId32" Type="http://schemas.openxmlformats.org/officeDocument/2006/relationships/hyperlink" Target="Fielding%20JW,%20Hawkins%20RJ.%20Atlantoaxial%20Rotary%20Deformities%20%5bInternet%5d.%20PubMed;%201978%20%5bcitado%2019%20de%20junio%20de%202020%5d.%20Disponible%20en:%20https://pubmed.ncbi.nlm.nih.gov/740386/" TargetMode="External"/><Relationship Id="rId37" Type="http://schemas.openxmlformats.org/officeDocument/2006/relationships/hyperlink" Target="https://www.zotero.org/google-docs/?9mTcgO"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pubmed.ncbi.nlm.nih.gov/12783261/" TargetMode="External"/><Relationship Id="rId23" Type="http://schemas.openxmlformats.org/officeDocument/2006/relationships/hyperlink" Target="https://www.zotero.org/google-docs/?9mTcgO" TargetMode="External"/><Relationship Id="rId28" Type="http://schemas.openxmlformats.org/officeDocument/2006/relationships/hyperlink" Target="https://www.zotero.org/google-docs/?9mTcgO" TargetMode="External"/><Relationship Id="rId36" Type="http://schemas.openxmlformats.org/officeDocument/2006/relationships/hyperlink" Target="https://www.zotero.org/google-docs/?9mTcgO" TargetMode="External"/><Relationship Id="rId10" Type="http://schemas.openxmlformats.org/officeDocument/2006/relationships/hyperlink" Target="https://www.zotero.org/google-docs/?9mTcgO" TargetMode="External"/><Relationship Id="rId19" Type="http://schemas.openxmlformats.org/officeDocument/2006/relationships/hyperlink" Target="https://www.zotero.org/google-docs/?9mTcgO" TargetMode="External"/><Relationship Id="rId31" Type="http://schemas.openxmlformats.org/officeDocument/2006/relationships/hyperlink" Target="https://www.zotero.org/google-docs/?9mTcgO" TargetMode="External"/><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hyperlink" Target="https://www.zotero.org/google-docs/?9mTcgO" TargetMode="External"/><Relationship Id="rId22" Type="http://schemas.openxmlformats.org/officeDocument/2006/relationships/hyperlink" Target="https://www.zotero.org/google-docs/?9mTcgO" TargetMode="External"/><Relationship Id="rId27" Type="http://schemas.openxmlformats.org/officeDocument/2006/relationships/hyperlink" Target="https://www.zotero.org/google-docs/?9mTcgO" TargetMode="External"/><Relationship Id="rId30" Type="http://schemas.openxmlformats.org/officeDocument/2006/relationships/hyperlink" Target="https://www.zotero.org/google-docs/?9mTcgO" TargetMode="External"/><Relationship Id="rId35" Type="http://schemas.openxmlformats.org/officeDocument/2006/relationships/hyperlink" Target="https://www.zotero.org/google-docs/?9mTcgO"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2</Pages>
  <Words>1426</Words>
  <Characters>7844</Characters>
  <Application>Microsoft Office Word</Application>
  <DocSecurity>0</DocSecurity>
  <Lines>65</Lines>
  <Paragraphs>18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9252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Gina Velasquez S.</cp:lastModifiedBy>
  <cp:revision>41</cp:revision>
  <dcterms:created xsi:type="dcterms:W3CDTF">2020-06-29T16:03:00Z</dcterms:created>
  <dcterms:modified xsi:type="dcterms:W3CDTF">2020-06-29T23:55:00Z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