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8CBA7" w14:textId="53F518A7" w:rsidR="00822955" w:rsidRPr="00914E13" w:rsidRDefault="007E3BC5" w:rsidP="00914E13">
      <w:pPr>
        <w:spacing w:line="360" w:lineRule="auto"/>
        <w:rPr>
          <w:rFonts w:ascii="Times New Roman" w:hAnsi="Times New Roman" w:cs="Times New Roman"/>
          <w:lang w:val="en-US"/>
        </w:rPr>
      </w:pPr>
      <w:r>
        <w:rPr>
          <w:noProof/>
          <w:sz w:val="20"/>
        </w:rPr>
        <w:drawing>
          <wp:anchor distT="0" distB="0" distL="114300" distR="114300" simplePos="0" relativeHeight="251659264" behindDoc="0" locked="0" layoutInCell="1" allowOverlap="1" wp14:anchorId="7CBFA398" wp14:editId="6FC66A35">
            <wp:simplePos x="0" y="0"/>
            <wp:positionH relativeFrom="margin">
              <wp:posOffset>-578485</wp:posOffset>
            </wp:positionH>
            <wp:positionV relativeFrom="paragraph">
              <wp:posOffset>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py of 5th World Congress.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p w14:paraId="7CDE5DA9" w14:textId="77777777" w:rsidR="00822955" w:rsidRPr="00914E13" w:rsidRDefault="00822955" w:rsidP="00914E13">
      <w:pPr>
        <w:spacing w:line="360" w:lineRule="auto"/>
        <w:rPr>
          <w:rFonts w:ascii="Times New Roman" w:hAnsi="Times New Roman" w:cs="Times New Roman"/>
          <w:lang w:val="en-US"/>
        </w:rPr>
      </w:pPr>
    </w:p>
    <w:p w14:paraId="79BC1686" w14:textId="743682E6" w:rsidR="00AE126C" w:rsidRPr="00914E13" w:rsidRDefault="00F50493" w:rsidP="00914E13">
      <w:pPr>
        <w:spacing w:line="360" w:lineRule="auto"/>
        <w:rPr>
          <w:rFonts w:ascii="Times New Roman" w:hAnsi="Times New Roman" w:cs="Times New Roman"/>
          <w:lang w:val="en-US"/>
        </w:rPr>
      </w:pPr>
      <w:r w:rsidRPr="00914E13">
        <w:rPr>
          <w:rFonts w:ascii="Times New Roman" w:hAnsi="Times New Roman" w:cs="Times New Roman"/>
          <w:lang w:val="en-US"/>
        </w:rPr>
        <w:t xml:space="preserve">Algorithms for Diagnosis and Treatment of Patients with Concomitant </w:t>
      </w:r>
      <w:r w:rsidR="00422284">
        <w:rPr>
          <w:rFonts w:ascii="Times New Roman" w:hAnsi="Times New Roman" w:cs="Times New Roman"/>
          <w:lang w:val="en-US"/>
        </w:rPr>
        <w:t xml:space="preserve">Thoracic and Lumbar </w:t>
      </w:r>
      <w:r w:rsidRPr="00914E13">
        <w:rPr>
          <w:rFonts w:ascii="Times New Roman" w:hAnsi="Times New Roman" w:cs="Times New Roman"/>
          <w:lang w:val="en-US"/>
        </w:rPr>
        <w:t>Spine and Spinal Cord Injury</w:t>
      </w:r>
    </w:p>
    <w:p w14:paraId="3FB915E1" w14:textId="77777777" w:rsidR="00F50493" w:rsidRPr="00914E13" w:rsidRDefault="00F50493" w:rsidP="00914E13">
      <w:pPr>
        <w:spacing w:line="360" w:lineRule="auto"/>
        <w:rPr>
          <w:rFonts w:ascii="Times New Roman" w:hAnsi="Times New Roman" w:cs="Times New Roman"/>
          <w:lang w:val="en-US"/>
        </w:rPr>
      </w:pPr>
    </w:p>
    <w:p w14:paraId="46041C04" w14:textId="77777777" w:rsidR="00822955" w:rsidRPr="00422284" w:rsidRDefault="00822955" w:rsidP="00914E13">
      <w:pPr>
        <w:pStyle w:val="3"/>
        <w:spacing w:line="360" w:lineRule="auto"/>
        <w:jc w:val="both"/>
        <w:rPr>
          <w:rFonts w:ascii="Times New Roman" w:hAnsi="Times New Roman" w:cs="Times New Roman"/>
          <w:sz w:val="24"/>
          <w:szCs w:val="24"/>
        </w:rPr>
      </w:pPr>
      <w:r w:rsidRPr="00914E13">
        <w:rPr>
          <w:rFonts w:ascii="Times New Roman" w:hAnsi="Times New Roman" w:cs="Times New Roman"/>
          <w:color w:val="BF5A14"/>
          <w:sz w:val="24"/>
          <w:szCs w:val="24"/>
        </w:rPr>
        <w:t>Abstract</w:t>
      </w:r>
      <w:r w:rsidRPr="00422284">
        <w:rPr>
          <w:rFonts w:ascii="Times New Roman" w:hAnsi="Times New Roman" w:cs="Times New Roman"/>
          <w:color w:val="BF5A14"/>
          <w:sz w:val="24"/>
          <w:szCs w:val="24"/>
        </w:rPr>
        <w:t xml:space="preserve"> (</w:t>
      </w:r>
      <w:proofErr w:type="gramStart"/>
      <w:r w:rsidRPr="00422284">
        <w:rPr>
          <w:rFonts w:ascii="Times New Roman" w:hAnsi="Times New Roman" w:cs="Times New Roman"/>
          <w:color w:val="BF5A14"/>
          <w:sz w:val="24"/>
          <w:szCs w:val="24"/>
        </w:rPr>
        <w:t xml:space="preserve">300 </w:t>
      </w:r>
      <w:r w:rsidRPr="00914E13">
        <w:rPr>
          <w:rFonts w:ascii="Times New Roman" w:hAnsi="Times New Roman" w:cs="Times New Roman"/>
          <w:color w:val="BF5A14"/>
          <w:sz w:val="24"/>
          <w:szCs w:val="24"/>
        </w:rPr>
        <w:t>word</w:t>
      </w:r>
      <w:proofErr w:type="gramEnd"/>
      <w:r w:rsidRPr="00422284">
        <w:rPr>
          <w:rFonts w:ascii="Times New Roman" w:hAnsi="Times New Roman" w:cs="Times New Roman"/>
          <w:color w:val="BF5A14"/>
          <w:sz w:val="24"/>
          <w:szCs w:val="24"/>
        </w:rPr>
        <w:t xml:space="preserve"> </w:t>
      </w:r>
      <w:r w:rsidRPr="00914E13">
        <w:rPr>
          <w:rFonts w:ascii="Times New Roman" w:hAnsi="Times New Roman" w:cs="Times New Roman"/>
          <w:color w:val="BF5A14"/>
          <w:sz w:val="24"/>
          <w:szCs w:val="24"/>
        </w:rPr>
        <w:t>limit</w:t>
      </w:r>
      <w:r w:rsidRPr="00422284">
        <w:rPr>
          <w:rFonts w:ascii="Times New Roman" w:hAnsi="Times New Roman" w:cs="Times New Roman"/>
          <w:color w:val="BF5A14"/>
          <w:sz w:val="24"/>
          <w:szCs w:val="24"/>
        </w:rPr>
        <w:t>)</w:t>
      </w:r>
    </w:p>
    <w:p w14:paraId="26B39E2C" w14:textId="77777777" w:rsidR="00822955" w:rsidRPr="00422284" w:rsidRDefault="00822955" w:rsidP="00914E13">
      <w:pPr>
        <w:spacing w:line="360" w:lineRule="auto"/>
        <w:rPr>
          <w:rFonts w:ascii="Times New Roman" w:hAnsi="Times New Roman" w:cs="Times New Roman"/>
          <w:lang w:val="en-US"/>
        </w:rPr>
      </w:pPr>
    </w:p>
    <w:p w14:paraId="7181AA9E" w14:textId="77D4459B" w:rsidR="00422284" w:rsidRPr="00422284" w:rsidRDefault="00822955" w:rsidP="00914E13">
      <w:pPr>
        <w:pStyle w:val="a4"/>
        <w:spacing w:line="360" w:lineRule="auto"/>
        <w:ind w:left="100" w:firstLine="580"/>
        <w:jc w:val="both"/>
        <w:rPr>
          <w:rFonts w:ascii="Times New Roman" w:hAnsi="Times New Roman" w:cs="Times New Roman"/>
          <w:sz w:val="24"/>
          <w:szCs w:val="24"/>
        </w:rPr>
      </w:pPr>
      <w:r w:rsidRPr="00914E13">
        <w:rPr>
          <w:rFonts w:ascii="Times New Roman" w:hAnsi="Times New Roman" w:cs="Times New Roman"/>
          <w:i/>
          <w:sz w:val="24"/>
          <w:szCs w:val="24"/>
        </w:rPr>
        <w:t>Statement</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of</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the</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Problem</w:t>
      </w:r>
      <w:r w:rsidRPr="00422284">
        <w:rPr>
          <w:rFonts w:ascii="Times New Roman" w:hAnsi="Times New Roman" w:cs="Times New Roman"/>
          <w:sz w:val="24"/>
          <w:szCs w:val="24"/>
        </w:rPr>
        <w:t xml:space="preserve">: </w:t>
      </w:r>
      <w:r w:rsidR="00422284">
        <w:rPr>
          <w:rFonts w:ascii="Times New Roman" w:hAnsi="Times New Roman" w:cs="Times New Roman"/>
          <w:sz w:val="24"/>
          <w:szCs w:val="24"/>
        </w:rPr>
        <w:t xml:space="preserve">Concomitant spine and spinal cord injury (SSCI) is diagnosed in 13-63% of patients having thoracic and lumbar spine injury. Main causes of concomitant SSCI include car accidents (22-70%) and height falls (18-61%). At the same time surgery timing, intervention range and staging in patients with concomitant SSCI are to be cleared. </w:t>
      </w:r>
    </w:p>
    <w:p w14:paraId="1D6FCA23" w14:textId="0328D7F0" w:rsidR="00422284" w:rsidRPr="00422284" w:rsidRDefault="00822955" w:rsidP="00914E13">
      <w:pPr>
        <w:pStyle w:val="a4"/>
        <w:spacing w:line="360" w:lineRule="auto"/>
        <w:ind w:left="100" w:firstLine="580"/>
        <w:jc w:val="both"/>
        <w:rPr>
          <w:rFonts w:ascii="Times New Roman" w:hAnsi="Times New Roman" w:cs="Times New Roman"/>
          <w:sz w:val="24"/>
          <w:szCs w:val="24"/>
        </w:rPr>
      </w:pPr>
      <w:r w:rsidRPr="00914E13">
        <w:rPr>
          <w:rFonts w:ascii="Times New Roman" w:hAnsi="Times New Roman" w:cs="Times New Roman"/>
          <w:i/>
          <w:sz w:val="24"/>
          <w:szCs w:val="24"/>
        </w:rPr>
        <w:t>The</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purpose</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of</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this</w:t>
      </w:r>
      <w:r w:rsidRPr="00422284">
        <w:rPr>
          <w:rFonts w:ascii="Times New Roman" w:hAnsi="Times New Roman" w:cs="Times New Roman"/>
          <w:i/>
          <w:sz w:val="24"/>
          <w:szCs w:val="24"/>
        </w:rPr>
        <w:t xml:space="preserve"> </w:t>
      </w:r>
      <w:r w:rsidRPr="00914E13">
        <w:rPr>
          <w:rFonts w:ascii="Times New Roman" w:hAnsi="Times New Roman" w:cs="Times New Roman"/>
          <w:i/>
          <w:sz w:val="24"/>
          <w:szCs w:val="24"/>
        </w:rPr>
        <w:t>study</w:t>
      </w:r>
      <w:r w:rsidRPr="00422284">
        <w:rPr>
          <w:rFonts w:ascii="Times New Roman" w:hAnsi="Times New Roman" w:cs="Times New Roman"/>
          <w:sz w:val="24"/>
          <w:szCs w:val="24"/>
        </w:rPr>
        <w:t xml:space="preserve">: </w:t>
      </w:r>
      <w:r w:rsidR="00422284">
        <w:rPr>
          <w:rFonts w:ascii="Times New Roman" w:hAnsi="Times New Roman" w:cs="Times New Roman"/>
          <w:sz w:val="24"/>
          <w:szCs w:val="24"/>
        </w:rPr>
        <w:t xml:space="preserve">to specify the surgical algorithm for diagnosis and treatment of patients with concomitant thoracic and lumbar spine and spinal cord injury. </w:t>
      </w:r>
    </w:p>
    <w:p w14:paraId="182A1B56" w14:textId="73BAE5CF" w:rsidR="00422284" w:rsidRDefault="00822955" w:rsidP="00914E13">
      <w:pPr>
        <w:pStyle w:val="a4"/>
        <w:spacing w:line="360" w:lineRule="auto"/>
        <w:ind w:left="100" w:firstLine="580"/>
        <w:jc w:val="both"/>
        <w:rPr>
          <w:rFonts w:ascii="Times New Roman" w:hAnsi="Times New Roman" w:cs="Times New Roman"/>
          <w:sz w:val="24"/>
          <w:szCs w:val="24"/>
        </w:rPr>
      </w:pPr>
      <w:r w:rsidRPr="00914E13">
        <w:rPr>
          <w:rFonts w:ascii="Times New Roman" w:hAnsi="Times New Roman" w:cs="Times New Roman"/>
          <w:i/>
          <w:sz w:val="24"/>
          <w:szCs w:val="24"/>
        </w:rPr>
        <w:t>Methodology &amp; Theoretical Orientation</w:t>
      </w:r>
      <w:r w:rsidRPr="00914E13">
        <w:rPr>
          <w:rFonts w:ascii="Times New Roman" w:hAnsi="Times New Roman" w:cs="Times New Roman"/>
          <w:sz w:val="24"/>
          <w:szCs w:val="24"/>
        </w:rPr>
        <w:t xml:space="preserve">: </w:t>
      </w:r>
      <w:r w:rsidR="00422284">
        <w:rPr>
          <w:rFonts w:ascii="Times New Roman" w:hAnsi="Times New Roman" w:cs="Times New Roman"/>
          <w:sz w:val="24"/>
          <w:szCs w:val="24"/>
        </w:rPr>
        <w:t xml:space="preserve">The total number of 518 surgeries were performed in our Center between 2000 and 2019 in patients with thoracic spine injuries and 910 surgeries in patients with lumbar spine injuries. Concomitant injuries were diagnosed in 46%, while 22% of patients had SCI. All admitting patients were divided into 3 groups. 4% were admitted </w:t>
      </w:r>
      <w:r w:rsidR="000A1DBE">
        <w:rPr>
          <w:rFonts w:ascii="Times New Roman" w:hAnsi="Times New Roman" w:cs="Times New Roman"/>
          <w:sz w:val="24"/>
          <w:szCs w:val="24"/>
        </w:rPr>
        <w:t>to the operation room immediately, 71% were admitted to intensive care unit and 25% to Neurosurgical or Orthopedic Departments. Indications for urgent admittance to the operation room included limb open fractures, continuous hemorrhage or internal organ eventration. Contraindications for urgent surgery in patients with concomitant trauma included traumatic or hemorrhagic shock</w:t>
      </w:r>
      <w:r w:rsidR="000A1DBE" w:rsidRPr="000A1DBE">
        <w:rPr>
          <w:rFonts w:ascii="Times New Roman" w:hAnsi="Times New Roman" w:cs="Times New Roman"/>
          <w:sz w:val="24"/>
          <w:szCs w:val="24"/>
        </w:rPr>
        <w:t xml:space="preserve"> </w:t>
      </w:r>
      <w:r w:rsidR="000A1DBE">
        <w:rPr>
          <w:rFonts w:ascii="Times New Roman" w:hAnsi="Times New Roman" w:cs="Times New Roman"/>
          <w:sz w:val="24"/>
          <w:szCs w:val="24"/>
        </w:rPr>
        <w:t>with instable hemodynamics, concomitant internal organ injuries (internal hemorrhage, peritonitis development, heart contusion with acute heart failure, multiple rib injuries with hemopneumothorax and signs of respiratory failure), severe traumatic brain injury</w:t>
      </w:r>
      <w:r w:rsidR="000A1DBE" w:rsidRPr="000A1DBE">
        <w:rPr>
          <w:rFonts w:ascii="Times New Roman" w:hAnsi="Times New Roman" w:cs="Times New Roman"/>
          <w:sz w:val="24"/>
          <w:szCs w:val="24"/>
        </w:rPr>
        <w:t xml:space="preserve"> </w:t>
      </w:r>
      <w:r w:rsidR="000A1DBE">
        <w:rPr>
          <w:rFonts w:ascii="Times New Roman" w:hAnsi="Times New Roman" w:cs="Times New Roman"/>
          <w:sz w:val="24"/>
          <w:szCs w:val="24"/>
        </w:rPr>
        <w:t>with consciousness level decrease</w:t>
      </w:r>
      <w:r w:rsidR="00D04CA6">
        <w:rPr>
          <w:rFonts w:ascii="Times New Roman" w:hAnsi="Times New Roman" w:cs="Times New Roman"/>
          <w:sz w:val="24"/>
          <w:szCs w:val="24"/>
        </w:rPr>
        <w:t xml:space="preserve"> (less than 10 points </w:t>
      </w:r>
      <w:r w:rsidR="00D633F3">
        <w:rPr>
          <w:rFonts w:ascii="Times New Roman" w:hAnsi="Times New Roman" w:cs="Times New Roman"/>
          <w:sz w:val="24"/>
          <w:szCs w:val="24"/>
        </w:rPr>
        <w:t xml:space="preserve">in Glasgow Coma Scale), suspected intracranial hematomas, severe concomitant deceases with severe anemia (Hb level less than 80-90 g/L), cardiovascular pathologies, renal (anuria, oliguria, carbamide level &gt;20 mM/L, creatinine level &gt;180 mM/L) and/or hepatic disorders (protein &lt;50g/L, hepatic enzymes increase more than 3-4 times), fat embolism, pulmonary embolism and non-fixed limb fractures in case of posterior approach. Surgical risk factors include concomitant trauma severity more than 37 points according to ISS scale, ASIA A neurological deficit. </w:t>
      </w:r>
      <w:proofErr w:type="spellStart"/>
      <w:r w:rsidR="00D633F3">
        <w:rPr>
          <w:rFonts w:ascii="Times New Roman" w:hAnsi="Times New Roman" w:cs="Times New Roman"/>
          <w:sz w:val="24"/>
          <w:szCs w:val="24"/>
        </w:rPr>
        <w:t>Intraoperational</w:t>
      </w:r>
      <w:proofErr w:type="spellEnd"/>
      <w:r w:rsidR="00D633F3">
        <w:rPr>
          <w:rFonts w:ascii="Times New Roman" w:hAnsi="Times New Roman" w:cs="Times New Roman"/>
          <w:sz w:val="24"/>
          <w:szCs w:val="24"/>
        </w:rPr>
        <w:t xml:space="preserve"> risk factors leading to premature surgery end </w:t>
      </w:r>
      <w:r w:rsidR="00B33782">
        <w:rPr>
          <w:rFonts w:ascii="Times New Roman" w:hAnsi="Times New Roman" w:cs="Times New Roman"/>
          <w:sz w:val="24"/>
          <w:szCs w:val="24"/>
        </w:rPr>
        <w:t xml:space="preserve">include decrease of hemoglobin level less than 70 g/L, blood pressure level &lt;90 mmHg and pressure medication support, arrythmia, hypoxia (SpO2 &lt;80%), instant </w:t>
      </w:r>
      <w:r w:rsidR="00B33782">
        <w:rPr>
          <w:rFonts w:ascii="Times New Roman" w:hAnsi="Times New Roman" w:cs="Times New Roman"/>
          <w:sz w:val="24"/>
          <w:szCs w:val="24"/>
        </w:rPr>
        <w:lastRenderedPageBreak/>
        <w:t xml:space="preserve">blood loss more than 800 mL or total blood loss exceeding 1800 </w:t>
      </w:r>
      <w:proofErr w:type="spellStart"/>
      <w:r w:rsidR="00B33782">
        <w:rPr>
          <w:rFonts w:ascii="Times New Roman" w:hAnsi="Times New Roman" w:cs="Times New Roman"/>
          <w:sz w:val="24"/>
          <w:szCs w:val="24"/>
        </w:rPr>
        <w:t>mL.</w:t>
      </w:r>
      <w:proofErr w:type="spellEnd"/>
      <w:r w:rsidR="00B33782">
        <w:rPr>
          <w:rFonts w:ascii="Times New Roman" w:hAnsi="Times New Roman" w:cs="Times New Roman"/>
          <w:sz w:val="24"/>
          <w:szCs w:val="24"/>
        </w:rPr>
        <w:t xml:space="preserve"> </w:t>
      </w:r>
    </w:p>
    <w:p w14:paraId="2F35A0B7" w14:textId="4384C3DF" w:rsidR="002F0B98" w:rsidRPr="002F0B98" w:rsidRDefault="00822955" w:rsidP="00914E13">
      <w:pPr>
        <w:pStyle w:val="0"/>
        <w:spacing w:line="360" w:lineRule="auto"/>
        <w:rPr>
          <w:rFonts w:cs="Times New Roman"/>
          <w:sz w:val="24"/>
          <w:szCs w:val="24"/>
          <w:lang w:val="en-US"/>
        </w:rPr>
      </w:pPr>
      <w:r w:rsidRPr="002F0B98">
        <w:rPr>
          <w:rFonts w:cs="Times New Roman"/>
          <w:sz w:val="24"/>
          <w:szCs w:val="24"/>
          <w:lang w:val="en-US"/>
        </w:rPr>
        <w:t xml:space="preserve">Conclusion &amp; Significance: </w:t>
      </w:r>
      <w:r w:rsidR="002F0B98">
        <w:rPr>
          <w:rFonts w:cs="Times New Roman"/>
          <w:sz w:val="24"/>
          <w:szCs w:val="24"/>
          <w:lang w:val="en-US"/>
        </w:rPr>
        <w:t xml:space="preserve">Current algorithm </w:t>
      </w:r>
      <w:r w:rsidR="00091837">
        <w:rPr>
          <w:rFonts w:cs="Times New Roman"/>
          <w:sz w:val="24"/>
          <w:szCs w:val="24"/>
          <w:lang w:val="en-US"/>
        </w:rPr>
        <w:t xml:space="preserve">application resulted in mortality level decrease from 14% in 2000 to 4.8% in 2010 and to 1.7% in 2019. Number of </w:t>
      </w:r>
      <w:proofErr w:type="gramStart"/>
      <w:r w:rsidR="00091837">
        <w:rPr>
          <w:rFonts w:cs="Times New Roman"/>
          <w:sz w:val="24"/>
          <w:szCs w:val="24"/>
          <w:lang w:val="en-US"/>
        </w:rPr>
        <w:t>complication</w:t>
      </w:r>
      <w:proofErr w:type="gramEnd"/>
      <w:r w:rsidR="00091837">
        <w:rPr>
          <w:rFonts w:cs="Times New Roman"/>
          <w:sz w:val="24"/>
          <w:szCs w:val="24"/>
          <w:lang w:val="en-US"/>
        </w:rPr>
        <w:t xml:space="preserve"> also decreased from 12% in 2000 to 9.1% in 2010 and to 2.4% in 2019. </w:t>
      </w:r>
    </w:p>
    <w:p w14:paraId="7AB830B3" w14:textId="77777777" w:rsidR="002F0B98" w:rsidRPr="002F0B98" w:rsidRDefault="002F0B98" w:rsidP="00914E13">
      <w:pPr>
        <w:pStyle w:val="0"/>
        <w:spacing w:line="360" w:lineRule="auto"/>
        <w:rPr>
          <w:rFonts w:cs="Times New Roman"/>
          <w:sz w:val="24"/>
          <w:szCs w:val="24"/>
          <w:lang w:val="en-US"/>
        </w:rPr>
      </w:pPr>
    </w:p>
    <w:p w14:paraId="348A4441" w14:textId="77777777" w:rsidR="00822955" w:rsidRPr="007E3BC5" w:rsidRDefault="00822955" w:rsidP="00914E13">
      <w:pPr>
        <w:spacing w:line="360" w:lineRule="auto"/>
        <w:rPr>
          <w:rFonts w:ascii="Times New Roman" w:hAnsi="Times New Roman" w:cs="Times New Roman"/>
          <w:color w:val="BF5A14"/>
          <w:lang w:val="en-US"/>
        </w:rPr>
      </w:pPr>
      <w:r w:rsidRPr="007E3BC5">
        <w:rPr>
          <w:rFonts w:ascii="Times New Roman" w:hAnsi="Times New Roman" w:cs="Times New Roman"/>
          <w:color w:val="BF5A14"/>
          <w:lang w:val="en-US"/>
        </w:rPr>
        <w:t>Image</w:t>
      </w:r>
    </w:p>
    <w:p w14:paraId="376941B6" w14:textId="5B4B6214" w:rsidR="00822955" w:rsidRPr="00091837" w:rsidRDefault="00091837" w:rsidP="00914E13">
      <w:pPr>
        <w:spacing w:line="360" w:lineRule="auto"/>
        <w:rPr>
          <w:rFonts w:ascii="Times New Roman" w:hAnsi="Times New Roman" w:cs="Times New Roman"/>
          <w:lang w:val="en-US"/>
        </w:rPr>
      </w:pPr>
      <w:r>
        <w:rPr>
          <w:rFonts w:ascii="Times New Roman" w:hAnsi="Times New Roman" w:cs="Times New Roman"/>
          <w:lang w:val="en-US"/>
        </w:rPr>
        <w:t>Algorithm for surgical treatment of patients with complicated concomitant thoracic and lumbar spinal and spinal cord injury.</w:t>
      </w:r>
    </w:p>
    <w:p w14:paraId="5D7EE969" w14:textId="77777777" w:rsidR="00091837" w:rsidRPr="007E3BC5" w:rsidRDefault="00091837" w:rsidP="00914E13">
      <w:pPr>
        <w:spacing w:line="360" w:lineRule="auto"/>
        <w:ind w:firstLine="680"/>
        <w:jc w:val="both"/>
        <w:rPr>
          <w:rFonts w:ascii="Times New Roman" w:hAnsi="Times New Roman" w:cs="Times New Roman"/>
          <w:lang w:val="en-US"/>
        </w:rPr>
      </w:pPr>
    </w:p>
    <w:p w14:paraId="23FFA92B" w14:textId="77777777" w:rsidR="007A51C7" w:rsidRPr="00242CB4" w:rsidRDefault="007A51C7" w:rsidP="007A51C7">
      <w:pPr>
        <w:spacing w:line="360" w:lineRule="auto"/>
        <w:jc w:val="both"/>
      </w:pPr>
      <w:r>
        <w:rPr>
          <w:noProof/>
        </w:rPr>
        <mc:AlternateContent>
          <mc:Choice Requires="wpc">
            <w:drawing>
              <wp:inline distT="0" distB="0" distL="0" distR="0" wp14:anchorId="4524127F" wp14:editId="6FFDDF59">
                <wp:extent cx="6130119" cy="3200400"/>
                <wp:effectExtent l="0" t="0" r="23495" b="0"/>
                <wp:docPr id="511" name="Полотно 43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75" name="Line 167"/>
                        <wps:cNvCnPr>
                          <a:cxnSpLocks/>
                        </wps:cNvCnPr>
                        <wps:spPr bwMode="auto">
                          <a:xfrm>
                            <a:off x="4758519" y="305100"/>
                            <a:ext cx="1600" cy="22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6" name="Rectangle 168"/>
                        <wps:cNvSpPr>
                          <a:spLocks/>
                        </wps:cNvSpPr>
                        <wps:spPr bwMode="auto">
                          <a:xfrm>
                            <a:off x="1825019" y="1143300"/>
                            <a:ext cx="1142500" cy="548700"/>
                          </a:xfrm>
                          <a:prstGeom prst="rect">
                            <a:avLst/>
                          </a:prstGeom>
                          <a:solidFill>
                            <a:srgbClr val="FFFFFF"/>
                          </a:solidFill>
                          <a:ln w="9525">
                            <a:solidFill>
                              <a:srgbClr val="000000"/>
                            </a:solidFill>
                            <a:miter lim="800000"/>
                            <a:headEnd/>
                            <a:tailEnd/>
                          </a:ln>
                        </wps:spPr>
                        <wps:txbx>
                          <w:txbxContent>
                            <w:p w14:paraId="07174689" w14:textId="42DB035A" w:rsidR="007A51C7" w:rsidRPr="00091837" w:rsidRDefault="00091837" w:rsidP="007A51C7">
                              <w:pPr>
                                <w:jc w:val="center"/>
                                <w:rPr>
                                  <w:lang w:val="en-US"/>
                                </w:rPr>
                              </w:pPr>
                              <w:r>
                                <w:rPr>
                                  <w:lang w:val="en-US"/>
                                </w:rPr>
                                <w:t xml:space="preserve">Stable, </w:t>
                              </w:r>
                              <w:proofErr w:type="spellStart"/>
                              <w:r>
                                <w:rPr>
                                  <w:lang w:val="en-US"/>
                                </w:rPr>
                                <w:t>dural</w:t>
                              </w:r>
                              <w:proofErr w:type="spellEnd"/>
                              <w:r>
                                <w:rPr>
                                  <w:lang w:val="en-US"/>
                                </w:rPr>
                                <w:t xml:space="preserve"> compression</w:t>
                              </w:r>
                            </w:p>
                          </w:txbxContent>
                        </wps:txbx>
                        <wps:bodyPr rot="0" vert="horz" wrap="square" lIns="18000" tIns="10800" rIns="18000" bIns="10800" anchor="t" anchorCtr="0" upright="1">
                          <a:noAutofit/>
                        </wps:bodyPr>
                      </wps:wsp>
                      <wps:wsp>
                        <wps:cNvPr id="492" name="Rectangle 169"/>
                        <wps:cNvSpPr>
                          <a:spLocks/>
                        </wps:cNvSpPr>
                        <wps:spPr bwMode="auto">
                          <a:xfrm>
                            <a:off x="110219" y="0"/>
                            <a:ext cx="1029000" cy="436728"/>
                          </a:xfrm>
                          <a:prstGeom prst="rect">
                            <a:avLst/>
                          </a:prstGeom>
                          <a:solidFill>
                            <a:srgbClr val="FFFFFF"/>
                          </a:solidFill>
                          <a:ln w="9525">
                            <a:solidFill>
                              <a:srgbClr val="000000"/>
                            </a:solidFill>
                            <a:miter lim="800000"/>
                            <a:headEnd/>
                            <a:tailEnd/>
                          </a:ln>
                        </wps:spPr>
                        <wps:txbx>
                          <w:txbxContent>
                            <w:p w14:paraId="738E1FB7" w14:textId="77777777" w:rsidR="00091837" w:rsidRDefault="00091837" w:rsidP="00091837">
                              <w:pPr>
                                <w:jc w:val="center"/>
                                <w:rPr>
                                  <w:lang w:val="en-US"/>
                                </w:rPr>
                              </w:pPr>
                              <w:r>
                                <w:rPr>
                                  <w:lang w:val="en-US"/>
                                </w:rPr>
                                <w:t>Stay</w:t>
                              </w:r>
                            </w:p>
                            <w:p w14:paraId="5D8B76D1" w14:textId="40F302C6" w:rsidR="007A51C7" w:rsidRPr="00091837" w:rsidRDefault="00091837" w:rsidP="00091837">
                              <w:pPr>
                                <w:jc w:val="center"/>
                                <w:rPr>
                                  <w:lang w:val="en-US"/>
                                </w:rPr>
                              </w:pPr>
                              <w:r>
                                <w:rPr>
                                  <w:lang w:val="en-US"/>
                                </w:rPr>
                                <w:t>conservative</w:t>
                              </w:r>
                            </w:p>
                          </w:txbxContent>
                        </wps:txbx>
                        <wps:bodyPr rot="0" vert="horz" wrap="square" lIns="18000" tIns="10800" rIns="18000" bIns="10800" anchor="t" anchorCtr="0" upright="1">
                          <a:noAutofit/>
                        </wps:bodyPr>
                      </wps:wsp>
                      <wps:wsp>
                        <wps:cNvPr id="493" name="Rectangle 170"/>
                        <wps:cNvSpPr>
                          <a:spLocks/>
                        </wps:cNvSpPr>
                        <wps:spPr bwMode="auto">
                          <a:xfrm>
                            <a:off x="1253419" y="0"/>
                            <a:ext cx="1142500" cy="639700"/>
                          </a:xfrm>
                          <a:prstGeom prst="rect">
                            <a:avLst/>
                          </a:prstGeom>
                          <a:solidFill>
                            <a:srgbClr val="FFFFFF"/>
                          </a:solidFill>
                          <a:ln w="9525">
                            <a:solidFill>
                              <a:srgbClr val="000000"/>
                            </a:solidFill>
                            <a:miter lim="800000"/>
                            <a:headEnd/>
                            <a:tailEnd/>
                          </a:ln>
                        </wps:spPr>
                        <wps:txbx>
                          <w:txbxContent>
                            <w:p w14:paraId="26B64DDC" w14:textId="77777777" w:rsidR="00091837" w:rsidRDefault="00091837" w:rsidP="007A51C7">
                              <w:pPr>
                                <w:jc w:val="center"/>
                                <w:rPr>
                                  <w:lang w:val="en-US"/>
                                </w:rPr>
                              </w:pPr>
                              <w:r>
                                <w:rPr>
                                  <w:lang w:val="en-US"/>
                                </w:rPr>
                                <w:t xml:space="preserve">Stable, </w:t>
                              </w:r>
                            </w:p>
                            <w:p w14:paraId="7F06C9E7" w14:textId="79B87599" w:rsidR="007A51C7" w:rsidRPr="00091837" w:rsidRDefault="00091837" w:rsidP="007A51C7">
                              <w:pPr>
                                <w:jc w:val="center"/>
                                <w:rPr>
                                  <w:lang w:val="en-US"/>
                                </w:rPr>
                              </w:pPr>
                              <w:r>
                                <w:rPr>
                                  <w:lang w:val="en-US"/>
                                </w:rPr>
                                <w:t xml:space="preserve">no </w:t>
                              </w:r>
                              <w:proofErr w:type="spellStart"/>
                              <w:proofErr w:type="gramStart"/>
                              <w:r>
                                <w:rPr>
                                  <w:lang w:val="en-US"/>
                                </w:rPr>
                                <w:t>dural</w:t>
                              </w:r>
                              <w:proofErr w:type="spellEnd"/>
                              <w:r>
                                <w:rPr>
                                  <w:lang w:val="en-US"/>
                                </w:rPr>
                                <w:t xml:space="preserve">  compression</w:t>
                              </w:r>
                              <w:proofErr w:type="gramEnd"/>
                            </w:p>
                          </w:txbxContent>
                        </wps:txbx>
                        <wps:bodyPr rot="0" vert="horz" wrap="square" lIns="18000" tIns="10800" rIns="18000" bIns="10800" anchor="t" anchorCtr="0" upright="1">
                          <a:noAutofit/>
                        </wps:bodyPr>
                      </wps:wsp>
                      <wps:wsp>
                        <wps:cNvPr id="494" name="Rectangle 171"/>
                        <wps:cNvSpPr>
                          <a:spLocks/>
                        </wps:cNvSpPr>
                        <wps:spPr bwMode="auto">
                          <a:xfrm>
                            <a:off x="2625019" y="0"/>
                            <a:ext cx="1142400" cy="639700"/>
                          </a:xfrm>
                          <a:prstGeom prst="rect">
                            <a:avLst/>
                          </a:prstGeom>
                          <a:solidFill>
                            <a:srgbClr val="FFFFFF"/>
                          </a:solidFill>
                          <a:ln w="9525">
                            <a:solidFill>
                              <a:srgbClr val="000000"/>
                            </a:solidFill>
                            <a:miter lim="800000"/>
                            <a:headEnd/>
                            <a:tailEnd/>
                          </a:ln>
                        </wps:spPr>
                        <wps:txbx>
                          <w:txbxContent>
                            <w:p w14:paraId="51A2DBE4" w14:textId="77777777" w:rsidR="00091837" w:rsidRDefault="00091837" w:rsidP="007A51C7">
                              <w:pPr>
                                <w:jc w:val="center"/>
                                <w:rPr>
                                  <w:lang w:val="en-US"/>
                                </w:rPr>
                              </w:pPr>
                              <w:r>
                                <w:rPr>
                                  <w:lang w:val="en-US"/>
                                </w:rPr>
                                <w:t xml:space="preserve">Complicated concomitant </w:t>
                              </w:r>
                            </w:p>
                            <w:p w14:paraId="3F771172" w14:textId="5AFA5BDC" w:rsidR="007A51C7" w:rsidRPr="00091837" w:rsidRDefault="00091837" w:rsidP="007A51C7">
                              <w:pPr>
                                <w:jc w:val="center"/>
                                <w:rPr>
                                  <w:lang w:val="en-US"/>
                                </w:rPr>
                              </w:pPr>
                              <w:r>
                                <w:rPr>
                                  <w:lang w:val="en-US"/>
                                </w:rPr>
                                <w:t>SSCI</w:t>
                              </w:r>
                            </w:p>
                          </w:txbxContent>
                        </wps:txbx>
                        <wps:bodyPr rot="0" vert="horz" wrap="square" lIns="18000" tIns="10800" rIns="18000" bIns="10800" anchor="t" anchorCtr="0" upright="1">
                          <a:noAutofit/>
                        </wps:bodyPr>
                      </wps:wsp>
                      <wps:wsp>
                        <wps:cNvPr id="495" name="Rectangle 172"/>
                        <wps:cNvSpPr>
                          <a:spLocks/>
                        </wps:cNvSpPr>
                        <wps:spPr bwMode="auto">
                          <a:xfrm>
                            <a:off x="3996619" y="0"/>
                            <a:ext cx="1142400" cy="273900"/>
                          </a:xfrm>
                          <a:prstGeom prst="rect">
                            <a:avLst/>
                          </a:prstGeom>
                          <a:solidFill>
                            <a:srgbClr val="FFFFFF"/>
                          </a:solidFill>
                          <a:ln w="9525">
                            <a:solidFill>
                              <a:srgbClr val="000000"/>
                            </a:solidFill>
                            <a:miter lim="800000"/>
                            <a:headEnd/>
                            <a:tailEnd/>
                          </a:ln>
                        </wps:spPr>
                        <wps:txbx>
                          <w:txbxContent>
                            <w:p w14:paraId="4F32358A" w14:textId="4AEBF0FD" w:rsidR="007A51C7" w:rsidRPr="00091837" w:rsidRDefault="00091837" w:rsidP="007A51C7">
                              <w:pPr>
                                <w:jc w:val="center"/>
                                <w:rPr>
                                  <w:lang w:val="en-US"/>
                                </w:rPr>
                              </w:pPr>
                              <w:r>
                                <w:rPr>
                                  <w:lang w:val="en-US"/>
                                </w:rPr>
                                <w:t>Unstable</w:t>
                              </w:r>
                            </w:p>
                          </w:txbxContent>
                        </wps:txbx>
                        <wps:bodyPr rot="0" vert="horz" wrap="square" lIns="18000" tIns="10800" rIns="18000" bIns="10800" anchor="t" anchorCtr="0" upright="1">
                          <a:noAutofit/>
                        </wps:bodyPr>
                      </wps:wsp>
                      <wps:wsp>
                        <wps:cNvPr id="496" name="Rectangle 173"/>
                        <wps:cNvSpPr>
                          <a:spLocks/>
                        </wps:cNvSpPr>
                        <wps:spPr bwMode="auto">
                          <a:xfrm>
                            <a:off x="1787019" y="2209600"/>
                            <a:ext cx="2554500" cy="228800"/>
                          </a:xfrm>
                          <a:prstGeom prst="rect">
                            <a:avLst/>
                          </a:prstGeom>
                          <a:solidFill>
                            <a:srgbClr val="FFFFFF"/>
                          </a:solidFill>
                          <a:ln w="9525">
                            <a:solidFill>
                              <a:srgbClr val="000000"/>
                            </a:solidFill>
                            <a:miter lim="800000"/>
                            <a:headEnd/>
                            <a:tailEnd/>
                          </a:ln>
                        </wps:spPr>
                        <wps:txbx>
                          <w:txbxContent>
                            <w:p w14:paraId="39C8F7B5" w14:textId="22204159" w:rsidR="007A51C7" w:rsidRPr="00091837" w:rsidRDefault="00091837" w:rsidP="007A51C7">
                              <w:pPr>
                                <w:jc w:val="center"/>
                                <w:rPr>
                                  <w:lang w:val="en-US"/>
                                </w:rPr>
                              </w:pPr>
                              <w:r>
                                <w:rPr>
                                  <w:lang w:val="en-US"/>
                                </w:rPr>
                                <w:t>Anterior instability</w:t>
                              </w:r>
                            </w:p>
                          </w:txbxContent>
                        </wps:txbx>
                        <wps:bodyPr rot="0" vert="horz" wrap="square" lIns="18000" tIns="10800" rIns="18000" bIns="10800" anchor="t" anchorCtr="0" upright="1">
                          <a:noAutofit/>
                        </wps:bodyPr>
                      </wps:wsp>
                      <wps:wsp>
                        <wps:cNvPr id="497" name="Rectangle 174"/>
                        <wps:cNvSpPr>
                          <a:spLocks/>
                        </wps:cNvSpPr>
                        <wps:spPr bwMode="auto">
                          <a:xfrm>
                            <a:off x="110203" y="914500"/>
                            <a:ext cx="1371500" cy="1403250"/>
                          </a:xfrm>
                          <a:prstGeom prst="rect">
                            <a:avLst/>
                          </a:prstGeom>
                          <a:solidFill>
                            <a:srgbClr val="FFFFFF"/>
                          </a:solidFill>
                          <a:ln w="9525">
                            <a:solidFill>
                              <a:srgbClr val="000000"/>
                            </a:solidFill>
                            <a:miter lim="800000"/>
                            <a:headEnd/>
                            <a:tailEnd/>
                          </a:ln>
                        </wps:spPr>
                        <wps:txbx>
                          <w:txbxContent>
                            <w:p w14:paraId="3068F5C8" w14:textId="77777777" w:rsidR="00091837" w:rsidRDefault="00091837" w:rsidP="007A51C7">
                              <w:pPr>
                                <w:jc w:val="center"/>
                                <w:rPr>
                                  <w:lang w:val="en-US"/>
                                </w:rPr>
                              </w:pPr>
                              <w:r>
                                <w:rPr>
                                  <w:lang w:val="en-US"/>
                                </w:rPr>
                                <w:t>Laminectomy</w:t>
                              </w:r>
                              <w:r w:rsidR="007A51C7" w:rsidRPr="00091837">
                                <w:rPr>
                                  <w:lang w:val="en-US"/>
                                </w:rPr>
                                <w:t xml:space="preserve">, </w:t>
                              </w:r>
                              <w:r>
                                <w:rPr>
                                  <w:lang w:val="en-US"/>
                                </w:rPr>
                                <w:t>decompression</w:t>
                              </w:r>
                              <w:r w:rsidR="007A51C7" w:rsidRPr="00091837">
                                <w:rPr>
                                  <w:lang w:val="en-US"/>
                                </w:rPr>
                                <w:t xml:space="preserve">, </w:t>
                              </w:r>
                              <w:r>
                                <w:rPr>
                                  <w:lang w:val="en-US"/>
                                </w:rPr>
                                <w:t>subdural space revision</w:t>
                              </w:r>
                              <w:r w:rsidR="007A51C7" w:rsidRPr="00091837">
                                <w:rPr>
                                  <w:lang w:val="en-US"/>
                                </w:rPr>
                                <w:t xml:space="preserve">. </w:t>
                              </w:r>
                            </w:p>
                            <w:p w14:paraId="1B9FC94A" w14:textId="143FD5E8" w:rsidR="00091837" w:rsidRPr="00091837" w:rsidRDefault="00091837" w:rsidP="007A51C7">
                              <w:pPr>
                                <w:jc w:val="center"/>
                                <w:rPr>
                                  <w:lang w:val="en-US"/>
                                </w:rPr>
                              </w:pPr>
                              <w:r>
                                <w:rPr>
                                  <w:lang w:val="en-US"/>
                                </w:rPr>
                                <w:t>Fusion</w:t>
                              </w:r>
                              <w:r w:rsidRPr="00091837">
                                <w:rPr>
                                  <w:lang w:val="en-US"/>
                                </w:rPr>
                                <w:t xml:space="preserve">, </w:t>
                              </w:r>
                              <w:r>
                                <w:rPr>
                                  <w:lang w:val="en-US"/>
                                </w:rPr>
                                <w:t>laminar and/or pedicular fixation</w:t>
                              </w:r>
                            </w:p>
                          </w:txbxContent>
                        </wps:txbx>
                        <wps:bodyPr rot="0" vert="horz" wrap="square" lIns="18000" tIns="10800" rIns="18000" bIns="10800" anchor="t" anchorCtr="0" upright="1">
                          <a:noAutofit/>
                        </wps:bodyPr>
                      </wps:wsp>
                      <wps:wsp>
                        <wps:cNvPr id="498" name="Line 175"/>
                        <wps:cNvCnPr>
                          <a:cxnSpLocks/>
                        </wps:cNvCnPr>
                        <wps:spPr bwMode="auto">
                          <a:xfrm flipH="1">
                            <a:off x="1139219" y="228000"/>
                            <a:ext cx="114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Line 176"/>
                        <wps:cNvCnPr>
                          <a:cxnSpLocks/>
                        </wps:cNvCnPr>
                        <wps:spPr bwMode="auto">
                          <a:xfrm flipH="1">
                            <a:off x="2395919" y="342800"/>
                            <a:ext cx="229100" cy="0"/>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00" name="Line 177"/>
                        <wps:cNvCnPr>
                          <a:cxnSpLocks/>
                        </wps:cNvCnPr>
                        <wps:spPr bwMode="auto">
                          <a:xfrm>
                            <a:off x="3768219" y="228000"/>
                            <a:ext cx="227600" cy="800"/>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01" name="Line 178"/>
                        <wps:cNvCnPr>
                          <a:cxnSpLocks/>
                        </wps:cNvCnPr>
                        <wps:spPr bwMode="auto">
                          <a:xfrm flipH="1">
                            <a:off x="2548919" y="685600"/>
                            <a:ext cx="304400" cy="457700"/>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02" name="Line 179"/>
                        <wps:cNvCnPr>
                          <a:cxnSpLocks/>
                        </wps:cNvCnPr>
                        <wps:spPr bwMode="auto">
                          <a:xfrm flipH="1" flipV="1">
                            <a:off x="1481719" y="1486100"/>
                            <a:ext cx="34330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3" name="Rectangle 180"/>
                        <wps:cNvSpPr>
                          <a:spLocks/>
                        </wps:cNvSpPr>
                        <wps:spPr bwMode="auto">
                          <a:xfrm>
                            <a:off x="3158619" y="2819800"/>
                            <a:ext cx="2819200" cy="304300"/>
                          </a:xfrm>
                          <a:prstGeom prst="rect">
                            <a:avLst/>
                          </a:prstGeom>
                          <a:solidFill>
                            <a:srgbClr val="C0C0C0"/>
                          </a:solidFill>
                          <a:ln w="9525">
                            <a:solidFill>
                              <a:srgbClr val="000000"/>
                            </a:solidFill>
                            <a:miter lim="800000"/>
                            <a:headEnd/>
                            <a:tailEnd/>
                          </a:ln>
                        </wps:spPr>
                        <wps:txbx>
                          <w:txbxContent>
                            <w:p w14:paraId="1D884E4C" w14:textId="0359B6EC" w:rsidR="007A51C7" w:rsidRPr="00091837" w:rsidRDefault="00091837" w:rsidP="007A51C7">
                              <w:pPr>
                                <w:jc w:val="center"/>
                                <w:rPr>
                                  <w:b/>
                                  <w:lang w:val="en-US"/>
                                </w:rPr>
                              </w:pPr>
                              <w:r>
                                <w:rPr>
                                  <w:b/>
                                  <w:lang w:val="en-US"/>
                                </w:rPr>
                                <w:t>Anterior interbody fusion</w:t>
                              </w:r>
                            </w:p>
                          </w:txbxContent>
                        </wps:txbx>
                        <wps:bodyPr rot="0" vert="horz" wrap="square" lIns="18000" tIns="10800" rIns="18000" bIns="10800" anchor="t" anchorCtr="0" upright="1">
                          <a:noAutofit/>
                        </wps:bodyPr>
                      </wps:wsp>
                      <wps:wsp>
                        <wps:cNvPr id="504" name="Rectangle 181"/>
                        <wps:cNvSpPr>
                          <a:spLocks/>
                        </wps:cNvSpPr>
                        <wps:spPr bwMode="auto">
                          <a:xfrm>
                            <a:off x="3844128" y="609400"/>
                            <a:ext cx="2285700" cy="997150"/>
                          </a:xfrm>
                          <a:prstGeom prst="rect">
                            <a:avLst/>
                          </a:prstGeom>
                          <a:solidFill>
                            <a:srgbClr val="FFFFFF"/>
                          </a:solidFill>
                          <a:ln w="9525">
                            <a:solidFill>
                              <a:srgbClr val="000000"/>
                            </a:solidFill>
                            <a:miter lim="800000"/>
                            <a:headEnd/>
                            <a:tailEnd/>
                          </a:ln>
                        </wps:spPr>
                        <wps:txbx>
                          <w:txbxContent>
                            <w:p w14:paraId="2ACF8383" w14:textId="50B99C9D" w:rsidR="00091837" w:rsidRPr="00091837" w:rsidRDefault="00091837" w:rsidP="00091837">
                              <w:pPr>
                                <w:jc w:val="center"/>
                                <w:rPr>
                                  <w:lang w:val="en-US"/>
                                </w:rPr>
                              </w:pPr>
                              <w:r>
                                <w:rPr>
                                  <w:lang w:val="en-US"/>
                                </w:rPr>
                                <w:t>Laminectomy</w:t>
                              </w:r>
                              <w:r w:rsidR="007A51C7" w:rsidRPr="00091837">
                                <w:rPr>
                                  <w:lang w:val="en-US"/>
                                </w:rPr>
                                <w:t xml:space="preserve">, </w:t>
                              </w:r>
                              <w:r>
                                <w:rPr>
                                  <w:lang w:val="en-US"/>
                                </w:rPr>
                                <w:t>anterior</w:t>
                              </w:r>
                              <w:r w:rsidRPr="00091837">
                                <w:rPr>
                                  <w:lang w:val="en-US"/>
                                </w:rPr>
                                <w:t xml:space="preserve"> </w:t>
                              </w:r>
                              <w:r>
                                <w:rPr>
                                  <w:lang w:val="en-US"/>
                                </w:rPr>
                                <w:t>and</w:t>
                              </w:r>
                              <w:r w:rsidRPr="00091837">
                                <w:rPr>
                                  <w:lang w:val="en-US"/>
                                </w:rPr>
                                <w:t xml:space="preserve"> </w:t>
                              </w:r>
                              <w:r>
                                <w:rPr>
                                  <w:lang w:val="en-US"/>
                                </w:rPr>
                                <w:t>posterior</w:t>
                              </w:r>
                              <w:r w:rsidRPr="00091837">
                                <w:rPr>
                                  <w:lang w:val="en-US"/>
                                </w:rPr>
                                <w:t xml:space="preserve"> </w:t>
                              </w:r>
                              <w:proofErr w:type="spellStart"/>
                              <w:r>
                                <w:rPr>
                                  <w:lang w:val="en-US"/>
                                </w:rPr>
                                <w:t>dural</w:t>
                              </w:r>
                              <w:proofErr w:type="spellEnd"/>
                              <w:r>
                                <w:rPr>
                                  <w:lang w:val="en-US"/>
                                </w:rPr>
                                <w:t xml:space="preserve"> decompression, subdural space revision.</w:t>
                              </w:r>
                              <w:r w:rsidR="007A51C7" w:rsidRPr="00091837">
                                <w:rPr>
                                  <w:lang w:val="en-US"/>
                                </w:rPr>
                                <w:t xml:space="preserve"> </w:t>
                              </w:r>
                              <w:r>
                                <w:rPr>
                                  <w:lang w:val="en-US"/>
                                </w:rPr>
                                <w:t>Fusion</w:t>
                              </w:r>
                              <w:r w:rsidRPr="00091837">
                                <w:rPr>
                                  <w:lang w:val="en-US"/>
                                </w:rPr>
                                <w:t xml:space="preserve">, </w:t>
                              </w:r>
                              <w:r>
                                <w:rPr>
                                  <w:lang w:val="en-US"/>
                                </w:rPr>
                                <w:t>laminar and/or pedicular fixation</w:t>
                              </w:r>
                            </w:p>
                            <w:p w14:paraId="0A964E01" w14:textId="4C8BD0A1" w:rsidR="007A51C7" w:rsidRPr="00091837" w:rsidRDefault="007A51C7" w:rsidP="007A51C7">
                              <w:pPr>
                                <w:jc w:val="center"/>
                              </w:pPr>
                            </w:p>
                          </w:txbxContent>
                        </wps:txbx>
                        <wps:bodyPr rot="0" vert="horz" wrap="square" lIns="18000" tIns="10800" rIns="18000" bIns="10800" anchor="t" anchorCtr="0" upright="1">
                          <a:noAutofit/>
                        </wps:bodyPr>
                      </wps:wsp>
                      <wps:wsp>
                        <wps:cNvPr id="505" name="Line 182"/>
                        <wps:cNvCnPr>
                          <a:cxnSpLocks/>
                        </wps:cNvCnPr>
                        <wps:spPr bwMode="auto">
                          <a:xfrm flipH="1">
                            <a:off x="4148819" y="1600200"/>
                            <a:ext cx="800" cy="571600"/>
                          </a:xfrm>
                          <a:prstGeom prst="line">
                            <a:avLst/>
                          </a:prstGeom>
                          <a:noFill/>
                          <a:ln w="25400">
                            <a:solidFill>
                              <a:srgbClr val="FF0000"/>
                            </a:solidFill>
                            <a:prstDash val="dash"/>
                            <a:round/>
                            <a:headEnd/>
                            <a:tailEnd type="stealth" w="lg" len="lg"/>
                          </a:ln>
                          <a:extLst>
                            <a:ext uri="{909E8E84-426E-40DD-AFC4-6F175D3DCCD1}">
                              <a14:hiddenFill xmlns:a14="http://schemas.microsoft.com/office/drawing/2010/main">
                                <a:noFill/>
                              </a14:hiddenFill>
                            </a:ext>
                          </a:extLst>
                        </wps:spPr>
                        <wps:bodyPr/>
                      </wps:wsp>
                      <wps:wsp>
                        <wps:cNvPr id="506" name="Line 183"/>
                        <wps:cNvCnPr>
                          <a:cxnSpLocks/>
                        </wps:cNvCnPr>
                        <wps:spPr bwMode="auto">
                          <a:xfrm>
                            <a:off x="4224919" y="2438400"/>
                            <a:ext cx="800" cy="381400"/>
                          </a:xfrm>
                          <a:prstGeom prst="line">
                            <a:avLst/>
                          </a:prstGeom>
                          <a:noFill/>
                          <a:ln w="25400">
                            <a:solidFill>
                              <a:srgbClr val="FF0000"/>
                            </a:solidFill>
                            <a:prstDash val="dash"/>
                            <a:round/>
                            <a:headEnd/>
                            <a:tailEnd type="stealth" w="lg" len="lg"/>
                          </a:ln>
                          <a:extLst>
                            <a:ext uri="{909E8E84-426E-40DD-AFC4-6F175D3DCCD1}">
                              <a14:hiddenFill xmlns:a14="http://schemas.microsoft.com/office/drawing/2010/main">
                                <a:noFill/>
                              </a14:hiddenFill>
                            </a:ext>
                          </a:extLst>
                        </wps:spPr>
                        <wps:bodyPr/>
                      </wps:wsp>
                      <wps:wsp>
                        <wps:cNvPr id="507" name="Line 184"/>
                        <wps:cNvCnPr>
                          <a:cxnSpLocks/>
                        </wps:cNvCnPr>
                        <wps:spPr bwMode="auto">
                          <a:xfrm>
                            <a:off x="4910719" y="1600200"/>
                            <a:ext cx="800" cy="1219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8" name="Rectangle 185"/>
                        <wps:cNvSpPr>
                          <a:spLocks/>
                        </wps:cNvSpPr>
                        <wps:spPr bwMode="auto">
                          <a:xfrm>
                            <a:off x="4834253" y="2176700"/>
                            <a:ext cx="1029100" cy="445850"/>
                          </a:xfrm>
                          <a:prstGeom prst="rect">
                            <a:avLst/>
                          </a:prstGeom>
                          <a:solidFill>
                            <a:srgbClr val="FFFFFF"/>
                          </a:solidFill>
                          <a:ln w="9525">
                            <a:solidFill>
                              <a:srgbClr val="000000"/>
                            </a:solidFill>
                            <a:miter lim="800000"/>
                            <a:headEnd/>
                            <a:tailEnd/>
                          </a:ln>
                        </wps:spPr>
                        <wps:txbx>
                          <w:txbxContent>
                            <w:p w14:paraId="4F738A9D" w14:textId="4E42215C" w:rsidR="007A51C7" w:rsidRPr="00091837" w:rsidRDefault="00091837" w:rsidP="007A51C7">
                              <w:pPr>
                                <w:jc w:val="center"/>
                                <w:rPr>
                                  <w:lang w:val="en-US"/>
                                </w:rPr>
                              </w:pPr>
                              <w:r>
                                <w:rPr>
                                  <w:lang w:val="en-US"/>
                                </w:rPr>
                                <w:t>Single-stage surgery</w:t>
                              </w:r>
                            </w:p>
                          </w:txbxContent>
                        </wps:txbx>
                        <wps:bodyPr rot="0" vert="horz" wrap="square" lIns="18000" tIns="10800" rIns="18000" bIns="10800" anchor="t" anchorCtr="0" upright="1">
                          <a:noAutofit/>
                        </wps:bodyPr>
                      </wps:wsp>
                      <wps:wsp>
                        <wps:cNvPr id="509" name="Rectangle 186"/>
                        <wps:cNvSpPr>
                          <a:spLocks/>
                        </wps:cNvSpPr>
                        <wps:spPr bwMode="auto">
                          <a:xfrm>
                            <a:off x="2692400" y="2514700"/>
                            <a:ext cx="1417697" cy="234850"/>
                          </a:xfrm>
                          <a:prstGeom prst="rect">
                            <a:avLst/>
                          </a:prstGeom>
                          <a:solidFill>
                            <a:srgbClr val="FFFFFF"/>
                          </a:solidFill>
                          <a:ln w="9525">
                            <a:solidFill>
                              <a:srgbClr val="000000"/>
                            </a:solidFill>
                            <a:miter lim="800000"/>
                            <a:headEnd/>
                            <a:tailEnd/>
                          </a:ln>
                        </wps:spPr>
                        <wps:txbx>
                          <w:txbxContent>
                            <w:p w14:paraId="05049D1B" w14:textId="2AA29CD4" w:rsidR="007A51C7" w:rsidRPr="00091837" w:rsidRDefault="00091837" w:rsidP="007A51C7">
                              <w:pPr>
                                <w:jc w:val="center"/>
                                <w:rPr>
                                  <w:lang w:val="en-US"/>
                                </w:rPr>
                              </w:pPr>
                              <w:r>
                                <w:rPr>
                                  <w:lang w:val="en-US"/>
                                </w:rPr>
                                <w:t>Two-stage surgery</w:t>
                              </w:r>
                            </w:p>
                          </w:txbxContent>
                        </wps:txbx>
                        <wps:bodyPr rot="0" vert="horz" wrap="square" lIns="18000" tIns="10800" rIns="18000" bIns="10800" anchor="t" anchorCtr="0" upright="1">
                          <a:noAutofit/>
                        </wps:bodyPr>
                      </wps:wsp>
                      <wps:wsp>
                        <wps:cNvPr id="510" name="AutoShape 187"/>
                        <wps:cNvSpPr>
                          <a:spLocks/>
                        </wps:cNvSpPr>
                        <wps:spPr bwMode="auto">
                          <a:xfrm>
                            <a:off x="2896219" y="1719900"/>
                            <a:ext cx="1029900" cy="456800"/>
                          </a:xfrm>
                          <a:prstGeom prst="wedgeRoundRectCallout">
                            <a:avLst>
                              <a:gd name="adj1" fmla="val 70222"/>
                              <a:gd name="adj2" fmla="val 14116"/>
                              <a:gd name="adj3" fmla="val 16667"/>
                            </a:avLst>
                          </a:prstGeom>
                          <a:solidFill>
                            <a:srgbClr val="FFFFFF"/>
                          </a:solidFill>
                          <a:ln w="9525">
                            <a:solidFill>
                              <a:srgbClr val="000000"/>
                            </a:solidFill>
                            <a:miter lim="800000"/>
                            <a:headEnd/>
                            <a:tailEnd/>
                          </a:ln>
                        </wps:spPr>
                        <wps:txbx>
                          <w:txbxContent>
                            <w:p w14:paraId="6AAD2C0E" w14:textId="4070F2AA" w:rsidR="007A51C7" w:rsidRPr="00091837" w:rsidRDefault="00091837" w:rsidP="007A51C7">
                              <w:pPr>
                                <w:rPr>
                                  <w:lang w:val="en-US"/>
                                </w:rPr>
                              </w:pPr>
                              <w:r>
                                <w:rPr>
                                  <w:lang w:val="en-US"/>
                                </w:rPr>
                                <w:t>Patient’s severe state</w:t>
                              </w:r>
                            </w:p>
                          </w:txbxContent>
                        </wps:txbx>
                        <wps:bodyPr rot="0" vert="horz" wrap="square" lIns="18000" tIns="10800" rIns="18000" bIns="10800" anchor="t" anchorCtr="0" upright="1">
                          <a:noAutofit/>
                        </wps:bodyPr>
                      </wps:wsp>
                    </wpc:wpc>
                  </a:graphicData>
                </a:graphic>
              </wp:inline>
            </w:drawing>
          </mc:Choice>
          <mc:Fallback>
            <w:pict>
              <v:group w14:anchorId="4524127F" id="Полотно 431" o:spid="_x0000_s1026" editas="canvas" style="width:482.7pt;height:252pt;mso-position-horizontal-relative:char;mso-position-vertical-relative:line" coordsize="61296,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96;height:32004;visibility:visible;mso-wrap-style:square">
                  <v:fill o:detectmouseclick="t"/>
                  <v:path o:connecttype="none"/>
                </v:shape>
                <v:line id="Line 167" o:spid="_x0000_s1028" style="position:absolute;visibility:visible;mso-wrap-style:square" from="47585,3051" to="47601,5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">
                  <v:stroke endarrow="block"/>
                  <o:lock v:ext="edit" shapetype="f"/>
                </v:line>
                <v:rect id="Rectangle 168" o:spid="_x0000_s1029" style="position:absolute;left:18250;top:11433;width:11425;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">
                  <v:path arrowok="t"/>
                  <v:textbox inset=".5mm,.3mm,.5mm,.3mm">
                    <w:txbxContent>
                      <w:p w14:paraId="07174689" w14:textId="42DB035A" w:rsidR="007A51C7" w:rsidRPr="00091837" w:rsidRDefault="00091837" w:rsidP="007A51C7">
                        <w:pPr>
                          <w:jc w:val="center"/>
                          <w:rPr>
                            <w:lang w:val="en-US"/>
                          </w:rPr>
                        </w:pPr>
                        <w:r>
                          <w:rPr>
                            <w:lang w:val="en-US"/>
                          </w:rPr>
                          <w:t xml:space="preserve">Stable, </w:t>
                        </w:r>
                        <w:proofErr w:type="spellStart"/>
                        <w:r>
                          <w:rPr>
                            <w:lang w:val="en-US"/>
                          </w:rPr>
                          <w:t>dural</w:t>
                        </w:r>
                        <w:proofErr w:type="spellEnd"/>
                        <w:r>
                          <w:rPr>
                            <w:lang w:val="en-US"/>
                          </w:rPr>
                          <w:t xml:space="preserve"> compression</w:t>
                        </w:r>
                      </w:p>
                    </w:txbxContent>
                  </v:textbox>
                </v:rect>
                <v:rect id="Rectangle 169" o:spid="_x0000_s1030" style="position:absolute;left:1102;width:10290;height:4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">
                  <v:path arrowok="t"/>
                  <v:textbox inset=".5mm,.3mm,.5mm,.3mm">
                    <w:txbxContent>
                      <w:p w14:paraId="738E1FB7" w14:textId="77777777" w:rsidR="00091837" w:rsidRDefault="00091837" w:rsidP="00091837">
                        <w:pPr>
                          <w:jc w:val="center"/>
                          <w:rPr>
                            <w:lang w:val="en-US"/>
                          </w:rPr>
                        </w:pPr>
                        <w:r>
                          <w:rPr>
                            <w:lang w:val="en-US"/>
                          </w:rPr>
                          <w:t>Stay</w:t>
                        </w:r>
                      </w:p>
                      <w:p w14:paraId="5D8B76D1" w14:textId="40F302C6" w:rsidR="007A51C7" w:rsidRPr="00091837" w:rsidRDefault="00091837" w:rsidP="00091837">
                        <w:pPr>
                          <w:jc w:val="center"/>
                          <w:rPr>
                            <w:lang w:val="en-US"/>
                          </w:rPr>
                        </w:pPr>
                        <w:r>
                          <w:rPr>
                            <w:lang w:val="en-US"/>
                          </w:rPr>
                          <w:t>conservative</w:t>
                        </w:r>
                      </w:p>
                    </w:txbxContent>
                  </v:textbox>
                </v:rect>
                <v:rect id="Rectangle 170" o:spid="_x0000_s1031" style="position:absolute;left:12534;width:11425;height:6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">
                  <v:path arrowok="t"/>
                  <v:textbox inset=".5mm,.3mm,.5mm,.3mm">
                    <w:txbxContent>
                      <w:p w14:paraId="26B64DDC" w14:textId="77777777" w:rsidR="00091837" w:rsidRDefault="00091837" w:rsidP="007A51C7">
                        <w:pPr>
                          <w:jc w:val="center"/>
                          <w:rPr>
                            <w:lang w:val="en-US"/>
                          </w:rPr>
                        </w:pPr>
                        <w:r>
                          <w:rPr>
                            <w:lang w:val="en-US"/>
                          </w:rPr>
                          <w:t xml:space="preserve">Stable, </w:t>
                        </w:r>
                      </w:p>
                      <w:p w14:paraId="7F06C9E7" w14:textId="79B87599" w:rsidR="007A51C7" w:rsidRPr="00091837" w:rsidRDefault="00091837" w:rsidP="007A51C7">
                        <w:pPr>
                          <w:jc w:val="center"/>
                          <w:rPr>
                            <w:lang w:val="en-US"/>
                          </w:rPr>
                        </w:pPr>
                        <w:r>
                          <w:rPr>
                            <w:lang w:val="en-US"/>
                          </w:rPr>
                          <w:t xml:space="preserve">no </w:t>
                        </w:r>
                        <w:proofErr w:type="spellStart"/>
                        <w:proofErr w:type="gramStart"/>
                        <w:r>
                          <w:rPr>
                            <w:lang w:val="en-US"/>
                          </w:rPr>
                          <w:t>dural</w:t>
                        </w:r>
                        <w:proofErr w:type="spellEnd"/>
                        <w:r>
                          <w:rPr>
                            <w:lang w:val="en-US"/>
                          </w:rPr>
                          <w:t xml:space="preserve">  compression</w:t>
                        </w:r>
                        <w:proofErr w:type="gramEnd"/>
                      </w:p>
                    </w:txbxContent>
                  </v:textbox>
                </v:rect>
                <v:rect id="Rectangle 171" o:spid="_x0000_s1032" style="position:absolute;left:26250;width:11424;height:6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">
                  <v:path arrowok="t"/>
                  <v:textbox inset=".5mm,.3mm,.5mm,.3mm">
                    <w:txbxContent>
                      <w:p w14:paraId="51A2DBE4" w14:textId="77777777" w:rsidR="00091837" w:rsidRDefault="00091837" w:rsidP="007A51C7">
                        <w:pPr>
                          <w:jc w:val="center"/>
                          <w:rPr>
                            <w:lang w:val="en-US"/>
                          </w:rPr>
                        </w:pPr>
                        <w:r>
                          <w:rPr>
                            <w:lang w:val="en-US"/>
                          </w:rPr>
                          <w:t xml:space="preserve">Complicated concomitant </w:t>
                        </w:r>
                      </w:p>
                      <w:p w14:paraId="3F771172" w14:textId="5AFA5BDC" w:rsidR="007A51C7" w:rsidRPr="00091837" w:rsidRDefault="00091837" w:rsidP="007A51C7">
                        <w:pPr>
                          <w:jc w:val="center"/>
                          <w:rPr>
                            <w:lang w:val="en-US"/>
                          </w:rPr>
                        </w:pPr>
                        <w:r>
                          <w:rPr>
                            <w:lang w:val="en-US"/>
                          </w:rPr>
                          <w:t>SSCI</w:t>
                        </w:r>
                      </w:p>
                    </w:txbxContent>
                  </v:textbox>
                </v:rect>
                <v:rect id="Rectangle 172" o:spid="_x0000_s1033" style="position:absolute;left:39966;width:11424;height: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">
                  <v:path arrowok="t"/>
                  <v:textbox inset=".5mm,.3mm,.5mm,.3mm">
                    <w:txbxContent>
                      <w:p w14:paraId="4F32358A" w14:textId="4AEBF0FD" w:rsidR="007A51C7" w:rsidRPr="00091837" w:rsidRDefault="00091837" w:rsidP="007A51C7">
                        <w:pPr>
                          <w:jc w:val="center"/>
                          <w:rPr>
                            <w:lang w:val="en-US"/>
                          </w:rPr>
                        </w:pPr>
                        <w:r>
                          <w:rPr>
                            <w:lang w:val="en-US"/>
                          </w:rPr>
                          <w:t>Unstable</w:t>
                        </w:r>
                      </w:p>
                    </w:txbxContent>
                  </v:textbox>
                </v:rect>
                <v:rect id="Rectangle 173" o:spid="_x0000_s1034" style="position:absolute;left:17870;top:22096;width:25545;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">
                  <v:path arrowok="t"/>
                  <v:textbox inset=".5mm,.3mm,.5mm,.3mm">
                    <w:txbxContent>
                      <w:p w14:paraId="39C8F7B5" w14:textId="22204159" w:rsidR="007A51C7" w:rsidRPr="00091837" w:rsidRDefault="00091837" w:rsidP="007A51C7">
                        <w:pPr>
                          <w:jc w:val="center"/>
                          <w:rPr>
                            <w:lang w:val="en-US"/>
                          </w:rPr>
                        </w:pPr>
                        <w:r>
                          <w:rPr>
                            <w:lang w:val="en-US"/>
                          </w:rPr>
                          <w:t>Anterior instability</w:t>
                        </w:r>
                      </w:p>
                    </w:txbxContent>
                  </v:textbox>
                </v:rect>
                <v:rect id="Rectangle 174" o:spid="_x0000_s1035" style="position:absolute;left:1102;top:9145;width:13715;height:1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">
                  <v:path arrowok="t"/>
                  <v:textbox inset=".5mm,.3mm,.5mm,.3mm">
                    <w:txbxContent>
                      <w:p w14:paraId="3068F5C8" w14:textId="77777777" w:rsidR="00091837" w:rsidRDefault="00091837" w:rsidP="007A51C7">
                        <w:pPr>
                          <w:jc w:val="center"/>
                          <w:rPr>
                            <w:lang w:val="en-US"/>
                          </w:rPr>
                        </w:pPr>
                        <w:r>
                          <w:rPr>
                            <w:lang w:val="en-US"/>
                          </w:rPr>
                          <w:t>Laminectomy</w:t>
                        </w:r>
                        <w:r w:rsidR="007A51C7" w:rsidRPr="00091837">
                          <w:rPr>
                            <w:lang w:val="en-US"/>
                          </w:rPr>
                          <w:t xml:space="preserve">, </w:t>
                        </w:r>
                        <w:r>
                          <w:rPr>
                            <w:lang w:val="en-US"/>
                          </w:rPr>
                          <w:t>decompression</w:t>
                        </w:r>
                        <w:r w:rsidR="007A51C7" w:rsidRPr="00091837">
                          <w:rPr>
                            <w:lang w:val="en-US"/>
                          </w:rPr>
                          <w:t xml:space="preserve">, </w:t>
                        </w:r>
                        <w:r>
                          <w:rPr>
                            <w:lang w:val="en-US"/>
                          </w:rPr>
                          <w:t>subdural space revision</w:t>
                        </w:r>
                        <w:r w:rsidR="007A51C7" w:rsidRPr="00091837">
                          <w:rPr>
                            <w:lang w:val="en-US"/>
                          </w:rPr>
                          <w:t xml:space="preserve">. </w:t>
                        </w:r>
                      </w:p>
                      <w:p w14:paraId="1B9FC94A" w14:textId="143FD5E8" w:rsidR="00091837" w:rsidRPr="00091837" w:rsidRDefault="00091837" w:rsidP="007A51C7">
                        <w:pPr>
                          <w:jc w:val="center"/>
                          <w:rPr>
                            <w:lang w:val="en-US"/>
                          </w:rPr>
                        </w:pPr>
                        <w:r>
                          <w:rPr>
                            <w:lang w:val="en-US"/>
                          </w:rPr>
                          <w:t>Fusion</w:t>
                        </w:r>
                        <w:r w:rsidRPr="00091837">
                          <w:rPr>
                            <w:lang w:val="en-US"/>
                          </w:rPr>
                          <w:t xml:space="preserve">, </w:t>
                        </w:r>
                        <w:r>
                          <w:rPr>
                            <w:lang w:val="en-US"/>
                          </w:rPr>
                          <w:t>laminar and/or pedicular fixation</w:t>
                        </w:r>
                      </w:p>
                    </w:txbxContent>
                  </v:textbox>
                </v:rect>
                <v:line id="Line 175" o:spid="_x0000_s1036" style="position:absolute;flip:x;visibility:visible;mso-wrap-style:square" from="11392,2280" to="12534,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">
                  <v:stroke endarrow="block"/>
                  <o:lock v:ext="edit" shapetype="f"/>
                </v:line>
                <v:line id="Line 176" o:spid="_x0000_s1037" style="position:absolute;flip:x;visibility:visible;mso-wrap-style:square" from="23959,3428" to="2625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" strokeweight="1.5pt">
                  <v:stroke endarrow="classic" endarrowlength="long"/>
                  <o:lock v:ext="edit" shapetype="f"/>
                </v:line>
                <v:line id="Line 177" o:spid="_x0000_s1038" style="position:absolute;visibility:visible;mso-wrap-style:square" from="37682,2280" to="39958,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" strokeweight="1.5pt">
                  <v:stroke endarrow="classic" endarrowlength="long"/>
                  <o:lock v:ext="edit" shapetype="f"/>
                </v:line>
                <v:line id="Line 178" o:spid="_x0000_s1039" style="position:absolute;flip:x;visibility:visible;mso-wrap-style:square" from="25489,6856" to="28533,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" strokeweight="1.5pt">
                  <v:stroke endarrow="classic" endarrowlength="long"/>
                  <o:lock v:ext="edit" shapetype="f"/>
                </v:line>
                <v:line id="Line 179" o:spid="_x0000_s1040" style="position:absolute;flip:x y;visibility:visible;mso-wrap-style:square" from="14817,14861" to="18250,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">
                  <v:stroke endarrow="block"/>
                  <o:lock v:ext="edit" shapetype="f"/>
                </v:line>
                <v:rect id="Rectangle 180" o:spid="_x0000_s1041" style="position:absolute;left:31586;top:28198;width:28192;height:3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" fillcolor="silver">
                  <v:path arrowok="t"/>
                  <v:textbox inset=".5mm,.3mm,.5mm,.3mm">
                    <w:txbxContent>
                      <w:p w14:paraId="1D884E4C" w14:textId="0359B6EC" w:rsidR="007A51C7" w:rsidRPr="00091837" w:rsidRDefault="00091837" w:rsidP="007A51C7">
                        <w:pPr>
                          <w:jc w:val="center"/>
                          <w:rPr>
                            <w:b/>
                            <w:lang w:val="en-US"/>
                          </w:rPr>
                        </w:pPr>
                        <w:r>
                          <w:rPr>
                            <w:b/>
                            <w:lang w:val="en-US"/>
                          </w:rPr>
                          <w:t>Anterior interbody fusion</w:t>
                        </w:r>
                      </w:p>
                    </w:txbxContent>
                  </v:textbox>
                </v:rect>
                <v:rect id="Rectangle 181" o:spid="_x0000_s1042" style="position:absolute;left:38441;top:6094;width:22857;height:9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">
                  <v:path arrowok="t"/>
                  <v:textbox inset=".5mm,.3mm,.5mm,.3mm">
                    <w:txbxContent>
                      <w:p w14:paraId="2ACF8383" w14:textId="50B99C9D" w:rsidR="00091837" w:rsidRPr="00091837" w:rsidRDefault="00091837" w:rsidP="00091837">
                        <w:pPr>
                          <w:jc w:val="center"/>
                          <w:rPr>
                            <w:lang w:val="en-US"/>
                          </w:rPr>
                        </w:pPr>
                        <w:r>
                          <w:rPr>
                            <w:lang w:val="en-US"/>
                          </w:rPr>
                          <w:t>Laminectomy</w:t>
                        </w:r>
                        <w:r w:rsidR="007A51C7" w:rsidRPr="00091837">
                          <w:rPr>
                            <w:lang w:val="en-US"/>
                          </w:rPr>
                          <w:t xml:space="preserve">, </w:t>
                        </w:r>
                        <w:r>
                          <w:rPr>
                            <w:lang w:val="en-US"/>
                          </w:rPr>
                          <w:t>anterior</w:t>
                        </w:r>
                        <w:r w:rsidRPr="00091837">
                          <w:rPr>
                            <w:lang w:val="en-US"/>
                          </w:rPr>
                          <w:t xml:space="preserve"> </w:t>
                        </w:r>
                        <w:r>
                          <w:rPr>
                            <w:lang w:val="en-US"/>
                          </w:rPr>
                          <w:t>and</w:t>
                        </w:r>
                        <w:r w:rsidRPr="00091837">
                          <w:rPr>
                            <w:lang w:val="en-US"/>
                          </w:rPr>
                          <w:t xml:space="preserve"> </w:t>
                        </w:r>
                        <w:r>
                          <w:rPr>
                            <w:lang w:val="en-US"/>
                          </w:rPr>
                          <w:t>posterior</w:t>
                        </w:r>
                        <w:r w:rsidRPr="00091837">
                          <w:rPr>
                            <w:lang w:val="en-US"/>
                          </w:rPr>
                          <w:t xml:space="preserve"> </w:t>
                        </w:r>
                        <w:proofErr w:type="spellStart"/>
                        <w:r>
                          <w:rPr>
                            <w:lang w:val="en-US"/>
                          </w:rPr>
                          <w:t>dural</w:t>
                        </w:r>
                        <w:proofErr w:type="spellEnd"/>
                        <w:r>
                          <w:rPr>
                            <w:lang w:val="en-US"/>
                          </w:rPr>
                          <w:t xml:space="preserve"> decompression, subdural space revision.</w:t>
                        </w:r>
                        <w:r w:rsidR="007A51C7" w:rsidRPr="00091837">
                          <w:rPr>
                            <w:lang w:val="en-US"/>
                          </w:rPr>
                          <w:t xml:space="preserve"> </w:t>
                        </w:r>
                        <w:r>
                          <w:rPr>
                            <w:lang w:val="en-US"/>
                          </w:rPr>
                          <w:t>Fusion</w:t>
                        </w:r>
                        <w:r w:rsidRPr="00091837">
                          <w:rPr>
                            <w:lang w:val="en-US"/>
                          </w:rPr>
                          <w:t xml:space="preserve">, </w:t>
                        </w:r>
                        <w:r>
                          <w:rPr>
                            <w:lang w:val="en-US"/>
                          </w:rPr>
                          <w:t>laminar and/or pedicular fixation</w:t>
                        </w:r>
                      </w:p>
                      <w:p w14:paraId="0A964E01" w14:textId="4C8BD0A1" w:rsidR="007A51C7" w:rsidRPr="00091837" w:rsidRDefault="007A51C7" w:rsidP="007A51C7">
                        <w:pPr>
                          <w:jc w:val="center"/>
                        </w:pPr>
                      </w:p>
                    </w:txbxContent>
                  </v:textbox>
                </v:rect>
                <v:line id="Line 182" o:spid="_x0000_s1043" style="position:absolute;flip:x;visibility:visible;mso-wrap-style:square" from="41488,16002" to="41496,21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" strokecolor="red" strokeweight="2pt">
                  <v:stroke dashstyle="dash" endarrow="classic" endarrowwidth="wide" endarrowlength="long"/>
                  <o:lock v:ext="edit" shapetype="f"/>
                </v:line>
                <v:line id="Line 183" o:spid="_x0000_s1044" style="position:absolute;visibility:visible;mso-wrap-style:square" from="42249,24384" to="42257,28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" strokecolor="red" strokeweight="2pt">
                  <v:stroke dashstyle="dash" endarrow="classic" endarrowwidth="wide" endarrowlength="long"/>
                  <o:lock v:ext="edit" shapetype="f"/>
                </v:line>
                <v:line id="Line 184" o:spid="_x0000_s1045" style="position:absolute;visibility:visible;mso-wrap-style:square" from="49107,16002" to="49115,28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">
                  <v:stroke endarrow="block"/>
                  <o:lock v:ext="edit" shapetype="f"/>
                </v:line>
                <v:rect id="Rectangle 185" o:spid="_x0000_s1046" style="position:absolute;left:48342;top:21767;width:10291;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">
                  <v:path arrowok="t"/>
                  <v:textbox inset=".5mm,.3mm,.5mm,.3mm">
                    <w:txbxContent>
                      <w:p w14:paraId="4F738A9D" w14:textId="4E42215C" w:rsidR="007A51C7" w:rsidRPr="00091837" w:rsidRDefault="00091837" w:rsidP="007A51C7">
                        <w:pPr>
                          <w:jc w:val="center"/>
                          <w:rPr>
                            <w:lang w:val="en-US"/>
                          </w:rPr>
                        </w:pPr>
                        <w:r>
                          <w:rPr>
                            <w:lang w:val="en-US"/>
                          </w:rPr>
                          <w:t>Single-stage surgery</w:t>
                        </w:r>
                      </w:p>
                    </w:txbxContent>
                  </v:textbox>
                </v:rect>
                <v:rect id="Rectangle 186" o:spid="_x0000_s1047" style="position:absolute;left:26924;top:25147;width:14176;height:2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">
                  <v:path arrowok="t"/>
                  <v:textbox inset=".5mm,.3mm,.5mm,.3mm">
                    <w:txbxContent>
                      <w:p w14:paraId="05049D1B" w14:textId="2AA29CD4" w:rsidR="007A51C7" w:rsidRPr="00091837" w:rsidRDefault="00091837" w:rsidP="007A51C7">
                        <w:pPr>
                          <w:jc w:val="center"/>
                          <w:rPr>
                            <w:lang w:val="en-US"/>
                          </w:rPr>
                        </w:pPr>
                        <w:r>
                          <w:rPr>
                            <w:lang w:val="en-US"/>
                          </w:rPr>
                          <w:t>Two-stage surgery</w:t>
                        </w:r>
                      </w:p>
                    </w:txbxContent>
                  </v:textbox>
                </v:re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87" o:spid="_x0000_s1048" type="#_x0000_t62" style="position:absolute;left:28962;top:17199;width:10299;height:4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" adj="25968,13849">
                  <v:path arrowok="t"/>
                  <v:textbox inset=".5mm,.3mm,.5mm,.3mm">
                    <w:txbxContent>
                      <w:p w14:paraId="6AAD2C0E" w14:textId="4070F2AA" w:rsidR="007A51C7" w:rsidRPr="00091837" w:rsidRDefault="00091837" w:rsidP="007A51C7">
                        <w:pPr>
                          <w:rPr>
                            <w:lang w:val="en-US"/>
                          </w:rPr>
                        </w:pPr>
                        <w:r>
                          <w:rPr>
                            <w:lang w:val="en-US"/>
                          </w:rPr>
                          <w:t>Patient’s severe state</w:t>
                        </w:r>
                      </w:p>
                    </w:txbxContent>
                  </v:textbox>
                </v:shape>
                <w10:anchorlock/>
              </v:group>
            </w:pict>
          </mc:Fallback>
        </mc:AlternateContent>
      </w:r>
    </w:p>
    <w:p w14:paraId="22099A82" w14:textId="77777777" w:rsidR="007A51C7" w:rsidRPr="00242CB4" w:rsidRDefault="007A51C7" w:rsidP="007A51C7">
      <w:pPr>
        <w:jc w:val="both"/>
      </w:pPr>
    </w:p>
    <w:p w14:paraId="6579366E" w14:textId="77777777" w:rsidR="007A51C7" w:rsidRDefault="007A51C7">
      <w:pPr>
        <w:rPr>
          <w:lang w:val="en-US"/>
        </w:rPr>
      </w:pPr>
    </w:p>
    <w:p w14:paraId="762A058E" w14:textId="7C9DFC87" w:rsidR="007A51C7" w:rsidRDefault="007E3BC5">
      <w:pPr>
        <w:rPr>
          <w:rFonts w:ascii="Times New Roman" w:hAnsi="Times New Roman" w:cs="Times New Roman"/>
          <w:b/>
          <w:bCs/>
          <w:lang w:val="en-US"/>
        </w:rPr>
      </w:pPr>
      <w:r w:rsidRPr="007E3BC5">
        <w:rPr>
          <w:rFonts w:ascii="Times New Roman" w:hAnsi="Times New Roman" w:cs="Times New Roman"/>
          <w:b/>
          <w:bCs/>
          <w:lang w:val="en-US"/>
        </w:rPr>
        <w:t>Recent publications:</w:t>
      </w:r>
    </w:p>
    <w:p w14:paraId="53EDB4D0" w14:textId="613E6D72" w:rsidR="007E3BC5" w:rsidRDefault="007E3BC5">
      <w:pPr>
        <w:rPr>
          <w:rFonts w:ascii="Times New Roman" w:hAnsi="Times New Roman" w:cs="Times New Roman"/>
          <w:b/>
          <w:bCs/>
          <w:lang w:val="en-US"/>
        </w:rPr>
      </w:pPr>
    </w:p>
    <w:p w14:paraId="64BBAD8F" w14:textId="33CB3846" w:rsidR="00AA3255" w:rsidRPr="00AA3255" w:rsidRDefault="00AA3255" w:rsidP="00AA3255">
      <w:pPr>
        <w:rPr>
          <w:rFonts w:ascii="Times New Roman" w:hAnsi="Times New Roman" w:cs="Times New Roman"/>
          <w:color w:val="333333"/>
          <w:spacing w:val="4"/>
          <w:shd w:val="clear" w:color="auto" w:fill="FCFCFC"/>
          <w:lang w:val="en-US"/>
        </w:rPr>
      </w:pPr>
      <w:r w:rsidRPr="00AA3255">
        <w:rPr>
          <w:rFonts w:ascii="Times New Roman" w:hAnsi="Times New Roman" w:cs="Times New Roman"/>
          <w:lang w:val="en-US"/>
        </w:rPr>
        <w:t xml:space="preserve">Grin et al. </w:t>
      </w:r>
      <w:r w:rsidRPr="00AA3255">
        <w:rPr>
          <w:rFonts w:ascii="Times New Roman" w:hAnsi="Times New Roman" w:cs="Times New Roman"/>
          <w:lang w:val="en-US"/>
        </w:rPr>
        <w:t>External Multicenter Study of Reliability and Reproducibi</w:t>
      </w:r>
      <w:r w:rsidRPr="00AA3255">
        <w:rPr>
          <w:rFonts w:ascii="Times New Roman" w:hAnsi="Times New Roman" w:cs="Times New Roman"/>
          <w:lang w:val="en-US"/>
        </w:rPr>
        <w:t>l</w:t>
      </w:r>
      <w:r w:rsidRPr="00AA3255">
        <w:rPr>
          <w:rFonts w:ascii="Times New Roman" w:hAnsi="Times New Roman" w:cs="Times New Roman"/>
          <w:lang w:val="en-US"/>
        </w:rPr>
        <w:t>ity for Lower Cervical Spine Injuries Classification Sy</w:t>
      </w:r>
      <w:r w:rsidRPr="00AA3255">
        <w:rPr>
          <w:rFonts w:ascii="Times New Roman" w:hAnsi="Times New Roman" w:cs="Times New Roman"/>
          <w:lang w:val="en-US"/>
        </w:rPr>
        <w:t>s</w:t>
      </w:r>
      <w:r w:rsidRPr="00AA3255">
        <w:rPr>
          <w:rFonts w:ascii="Times New Roman" w:hAnsi="Times New Roman" w:cs="Times New Roman"/>
          <w:lang w:val="en-US"/>
        </w:rPr>
        <w:t xml:space="preserve">tems – Part I: A comparison </w:t>
      </w:r>
      <w:proofErr w:type="gramStart"/>
      <w:r w:rsidRPr="00AA3255">
        <w:rPr>
          <w:rFonts w:ascii="Times New Roman" w:hAnsi="Times New Roman" w:cs="Times New Roman"/>
          <w:lang w:val="en-US"/>
        </w:rPr>
        <w:t>of  Morphological</w:t>
      </w:r>
      <w:proofErr w:type="gramEnd"/>
      <w:r w:rsidRPr="00AA3255">
        <w:rPr>
          <w:rFonts w:ascii="Times New Roman" w:hAnsi="Times New Roman" w:cs="Times New Roman"/>
          <w:lang w:val="en-US"/>
        </w:rPr>
        <w:t xml:space="preserve"> Schemes</w:t>
      </w:r>
      <w:r w:rsidRPr="00AA3255">
        <w:rPr>
          <w:rFonts w:ascii="Times New Roman" w:hAnsi="Times New Roman" w:cs="Times New Roman"/>
          <w:lang w:val="en-US"/>
        </w:rPr>
        <w:t xml:space="preserve">.- </w:t>
      </w:r>
      <w:r w:rsidRPr="00AA3255">
        <w:rPr>
          <w:rFonts w:ascii="Times New Roman" w:hAnsi="Times New Roman" w:cs="Times New Roman"/>
          <w:lang w:val="en-US"/>
        </w:rPr>
        <w:t xml:space="preserve">Global Spine </w:t>
      </w:r>
      <w:proofErr w:type="spellStart"/>
      <w:r w:rsidRPr="00AA3255">
        <w:rPr>
          <w:rFonts w:ascii="Times New Roman" w:hAnsi="Times New Roman" w:cs="Times New Roman"/>
          <w:lang w:val="en-US"/>
        </w:rPr>
        <w:t>Jornal</w:t>
      </w:r>
      <w:proofErr w:type="spellEnd"/>
      <w:r w:rsidRPr="00AA3255">
        <w:rPr>
          <w:rFonts w:ascii="Times New Roman" w:hAnsi="Times New Roman" w:cs="Times New Roman"/>
          <w:lang w:val="en-US"/>
        </w:rPr>
        <w:t>, 2019, 1-10</w:t>
      </w:r>
      <w:r w:rsidRPr="00AA3255">
        <w:rPr>
          <w:rFonts w:ascii="Times New Roman" w:hAnsi="Times New Roman" w:cs="Times New Roman"/>
          <w:lang w:val="en-US"/>
        </w:rPr>
        <w:t xml:space="preserve">. </w:t>
      </w:r>
      <w:r w:rsidRPr="00AA3255">
        <w:rPr>
          <w:rFonts w:ascii="Times New Roman" w:hAnsi="Times New Roman" w:cs="Times New Roman"/>
          <w:color w:val="333333"/>
          <w:spacing w:val="4"/>
          <w:shd w:val="clear" w:color="auto" w:fill="FCFCFC"/>
          <w:lang w:val="en-US"/>
        </w:rPr>
        <w:t>DOI:.10.1177/2192568219868218</w:t>
      </w:r>
    </w:p>
    <w:p w14:paraId="219C21D8" w14:textId="77777777" w:rsidR="00AA3255" w:rsidRDefault="00AA3255" w:rsidP="00AA3255">
      <w:pPr>
        <w:rPr>
          <w:rFonts w:ascii="Times New Roman" w:hAnsi="Times New Roman" w:cs="Times New Roman"/>
          <w:lang w:val="en-US"/>
        </w:rPr>
      </w:pPr>
    </w:p>
    <w:p w14:paraId="5AACB95A" w14:textId="418B8C8F" w:rsidR="00AA3255" w:rsidRPr="00AA3255" w:rsidRDefault="00AA3255" w:rsidP="00AA3255">
      <w:pPr>
        <w:rPr>
          <w:rFonts w:ascii="Times New Roman" w:hAnsi="Times New Roman" w:cs="Times New Roman"/>
          <w:color w:val="333333"/>
          <w:spacing w:val="4"/>
          <w:shd w:val="clear" w:color="auto" w:fill="FCFCFC"/>
          <w:lang w:val="en-US"/>
        </w:rPr>
      </w:pPr>
      <w:r w:rsidRPr="00AA3255">
        <w:rPr>
          <w:rFonts w:ascii="Times New Roman" w:hAnsi="Times New Roman" w:cs="Times New Roman"/>
          <w:lang w:val="en-US"/>
        </w:rPr>
        <w:t xml:space="preserve">Grin et al. </w:t>
      </w:r>
      <w:r w:rsidRPr="00AA3255">
        <w:rPr>
          <w:rFonts w:ascii="Times New Roman" w:hAnsi="Times New Roman" w:cs="Times New Roman"/>
          <w:lang w:val="en-US"/>
        </w:rPr>
        <w:t>External Multicenter Study of Reliability and Reproducibi</w:t>
      </w:r>
      <w:r w:rsidRPr="00AA3255">
        <w:rPr>
          <w:rFonts w:ascii="Times New Roman" w:hAnsi="Times New Roman" w:cs="Times New Roman"/>
          <w:lang w:val="en-US"/>
        </w:rPr>
        <w:t>l</w:t>
      </w:r>
      <w:r w:rsidRPr="00AA3255">
        <w:rPr>
          <w:rFonts w:ascii="Times New Roman" w:hAnsi="Times New Roman" w:cs="Times New Roman"/>
          <w:lang w:val="en-US"/>
        </w:rPr>
        <w:t>ity for Lower Cervical Spine Injuries Classification Sy</w:t>
      </w:r>
      <w:r w:rsidRPr="00AA3255">
        <w:rPr>
          <w:rFonts w:ascii="Times New Roman" w:hAnsi="Times New Roman" w:cs="Times New Roman"/>
          <w:lang w:val="en-US"/>
        </w:rPr>
        <w:t>s</w:t>
      </w:r>
      <w:r w:rsidRPr="00AA3255">
        <w:rPr>
          <w:rFonts w:ascii="Times New Roman" w:hAnsi="Times New Roman" w:cs="Times New Roman"/>
          <w:lang w:val="en-US"/>
        </w:rPr>
        <w:t xml:space="preserve">tems – Part II: An analysis of the </w:t>
      </w:r>
      <w:proofErr w:type="spellStart"/>
      <w:r w:rsidRPr="00AA3255">
        <w:rPr>
          <w:rFonts w:ascii="Times New Roman" w:hAnsi="Times New Roman" w:cs="Times New Roman"/>
          <w:lang w:val="en-US"/>
        </w:rPr>
        <w:t>Subaxial</w:t>
      </w:r>
      <w:proofErr w:type="spellEnd"/>
      <w:r w:rsidRPr="00AA3255">
        <w:rPr>
          <w:rFonts w:ascii="Times New Roman" w:hAnsi="Times New Roman" w:cs="Times New Roman"/>
          <w:lang w:val="en-US"/>
        </w:rPr>
        <w:t xml:space="preserve"> Cervical Spine Injury Classification and Cervical Spine Injury Severity Score </w:t>
      </w:r>
      <w:proofErr w:type="gramStart"/>
      <w:r w:rsidRPr="00AA3255">
        <w:rPr>
          <w:rFonts w:ascii="Times New Roman" w:hAnsi="Times New Roman" w:cs="Times New Roman"/>
          <w:lang w:val="en-US"/>
        </w:rPr>
        <w:t>Scale</w:t>
      </w:r>
      <w:r w:rsidRPr="00AA3255">
        <w:rPr>
          <w:rFonts w:ascii="Times New Roman" w:hAnsi="Times New Roman" w:cs="Times New Roman"/>
          <w:lang w:val="en-US"/>
        </w:rPr>
        <w:t>.-</w:t>
      </w:r>
      <w:proofErr w:type="gramEnd"/>
      <w:r w:rsidRPr="00AA3255">
        <w:rPr>
          <w:rFonts w:ascii="Times New Roman" w:hAnsi="Times New Roman" w:cs="Times New Roman"/>
          <w:lang w:val="en-US"/>
        </w:rPr>
        <w:t xml:space="preserve"> </w:t>
      </w:r>
      <w:r w:rsidRPr="00AA3255">
        <w:rPr>
          <w:rFonts w:ascii="Times New Roman" w:hAnsi="Times New Roman" w:cs="Times New Roman"/>
          <w:lang w:val="en-US"/>
        </w:rPr>
        <w:t xml:space="preserve">Global Spine </w:t>
      </w:r>
      <w:proofErr w:type="spellStart"/>
      <w:r w:rsidRPr="00AA3255">
        <w:rPr>
          <w:rFonts w:ascii="Times New Roman" w:hAnsi="Times New Roman" w:cs="Times New Roman"/>
          <w:lang w:val="en-US"/>
        </w:rPr>
        <w:t>Jornal</w:t>
      </w:r>
      <w:proofErr w:type="spellEnd"/>
      <w:r w:rsidRPr="00AA3255">
        <w:rPr>
          <w:rFonts w:ascii="Times New Roman" w:hAnsi="Times New Roman" w:cs="Times New Roman"/>
          <w:lang w:val="en-US"/>
        </w:rPr>
        <w:t>, 2019, 1-9</w:t>
      </w:r>
      <w:r w:rsidRPr="00AA3255">
        <w:rPr>
          <w:rFonts w:ascii="Times New Roman" w:hAnsi="Times New Roman" w:cs="Times New Roman"/>
          <w:lang w:val="en-US"/>
        </w:rPr>
        <w:t xml:space="preserve"> </w:t>
      </w:r>
      <w:r w:rsidRPr="00AA3255">
        <w:rPr>
          <w:rFonts w:ascii="Times New Roman" w:hAnsi="Times New Roman" w:cs="Times New Roman"/>
          <w:color w:val="333333"/>
          <w:spacing w:val="4"/>
          <w:shd w:val="clear" w:color="auto" w:fill="FCFCFC"/>
          <w:lang w:val="en-US"/>
        </w:rPr>
        <w:t>DOI:.10.1177/2192568219896546</w:t>
      </w:r>
    </w:p>
    <w:p w14:paraId="332B650C" w14:textId="22D04837" w:rsidR="00AA3255" w:rsidRPr="00AA3255" w:rsidRDefault="00AA3255" w:rsidP="00AA3255">
      <w:pPr>
        <w:rPr>
          <w:rFonts w:ascii="Times New Roman" w:hAnsi="Times New Roman" w:cs="Times New Roman"/>
          <w:color w:val="333333"/>
          <w:spacing w:val="4"/>
          <w:shd w:val="clear" w:color="auto" w:fill="FCFCFC"/>
          <w:lang w:val="en-US"/>
        </w:rPr>
      </w:pPr>
    </w:p>
    <w:p w14:paraId="2F1CD9CD" w14:textId="77777777" w:rsidR="00AA3255" w:rsidRPr="00AA3255" w:rsidRDefault="00AA3255" w:rsidP="00AA3255">
      <w:pPr>
        <w:rPr>
          <w:rFonts w:ascii="Times New Roman" w:hAnsi="Times New Roman" w:cs="Times New Roman"/>
          <w:lang w:val="en-US"/>
        </w:rPr>
      </w:pPr>
      <w:r w:rsidRPr="00AA3255">
        <w:rPr>
          <w:rFonts w:ascii="Times New Roman" w:hAnsi="Times New Roman" w:cs="Times New Roman"/>
          <w:lang w:val="en-US"/>
        </w:rPr>
        <w:t xml:space="preserve">Grin et al. </w:t>
      </w:r>
      <w:r w:rsidRPr="00AA3255">
        <w:rPr>
          <w:rFonts w:ascii="Times New Roman" w:hAnsi="Times New Roman" w:cs="Times New Roman"/>
          <w:lang w:val="en-US"/>
        </w:rPr>
        <w:t xml:space="preserve">Posterior percutaneous </w:t>
      </w:r>
      <w:proofErr w:type="spellStart"/>
      <w:r w:rsidRPr="00AA3255">
        <w:rPr>
          <w:rFonts w:ascii="Times New Roman" w:hAnsi="Times New Roman" w:cs="Times New Roman"/>
          <w:lang w:val="en-US"/>
        </w:rPr>
        <w:t>transarticular</w:t>
      </w:r>
      <w:proofErr w:type="spellEnd"/>
      <w:r w:rsidRPr="00AA3255">
        <w:rPr>
          <w:rFonts w:ascii="Times New Roman" w:hAnsi="Times New Roman" w:cs="Times New Roman"/>
          <w:lang w:val="en-US"/>
        </w:rPr>
        <w:t xml:space="preserve"> </w:t>
      </w:r>
      <w:proofErr w:type="spellStart"/>
      <w:r w:rsidRPr="00AA3255">
        <w:rPr>
          <w:rFonts w:ascii="Times New Roman" w:hAnsi="Times New Roman" w:cs="Times New Roman"/>
          <w:lang w:val="en-US"/>
        </w:rPr>
        <w:t>atand</w:t>
      </w:r>
      <w:proofErr w:type="spellEnd"/>
      <w:r w:rsidRPr="00AA3255">
        <w:rPr>
          <w:rFonts w:ascii="Times New Roman" w:hAnsi="Times New Roman" w:cs="Times New Roman"/>
          <w:lang w:val="en-US"/>
        </w:rPr>
        <w:t xml:space="preserve">-alone screw instrumentation of C1-C2 with endoscopic assistance: A report of two </w:t>
      </w:r>
      <w:proofErr w:type="gramStart"/>
      <w:r w:rsidRPr="00AA3255">
        <w:rPr>
          <w:rFonts w:ascii="Times New Roman" w:hAnsi="Times New Roman" w:cs="Times New Roman"/>
          <w:lang w:val="en-US"/>
        </w:rPr>
        <w:t>cases</w:t>
      </w:r>
      <w:r w:rsidRPr="00AA3255">
        <w:rPr>
          <w:rFonts w:ascii="Times New Roman" w:hAnsi="Times New Roman" w:cs="Times New Roman"/>
          <w:lang w:val="en-US"/>
        </w:rPr>
        <w:t>.-</w:t>
      </w:r>
      <w:proofErr w:type="gramEnd"/>
      <w:r w:rsidRPr="00AA3255">
        <w:rPr>
          <w:rFonts w:ascii="Times New Roman" w:hAnsi="Times New Roman" w:cs="Times New Roman"/>
          <w:lang w:val="en-US"/>
        </w:rPr>
        <w:t xml:space="preserve"> </w:t>
      </w:r>
      <w:proofErr w:type="spellStart"/>
      <w:r w:rsidRPr="00AA3255">
        <w:rPr>
          <w:rFonts w:ascii="Times New Roman" w:hAnsi="Times New Roman" w:cs="Times New Roman"/>
          <w:lang w:val="en-US"/>
        </w:rPr>
        <w:t>Neurocirugia</w:t>
      </w:r>
      <w:proofErr w:type="spellEnd"/>
      <w:r w:rsidRPr="00AA3255">
        <w:rPr>
          <w:rFonts w:ascii="Times New Roman" w:hAnsi="Times New Roman" w:cs="Times New Roman"/>
          <w:lang w:val="en-US"/>
        </w:rPr>
        <w:t>, 2019</w:t>
      </w:r>
    </w:p>
    <w:p w14:paraId="2B6F2B11" w14:textId="20914F77" w:rsidR="00AA3255" w:rsidRPr="00AA3255" w:rsidRDefault="00AA3255" w:rsidP="00AA3255">
      <w:pPr>
        <w:rPr>
          <w:rFonts w:ascii="Times New Roman" w:hAnsi="Times New Roman" w:cs="Times New Roman"/>
          <w:color w:val="333333"/>
          <w:spacing w:val="4"/>
          <w:shd w:val="clear" w:color="auto" w:fill="FCFCFC"/>
          <w:lang w:val="en-US"/>
        </w:rPr>
      </w:pPr>
      <w:hyperlink r:id="rId5" w:history="1">
        <w:r w:rsidRPr="00AA3255">
          <w:rPr>
            <w:rStyle w:val="a8"/>
            <w:rFonts w:ascii="Times New Roman" w:hAnsi="Times New Roman" w:cs="Times New Roman"/>
            <w:spacing w:val="4"/>
            <w:shd w:val="clear" w:color="auto" w:fill="FCFCFC"/>
            <w:lang w:val="en-US"/>
          </w:rPr>
          <w:t>https://doi.org/10.1016/j.neucir.2019.08.006</w:t>
        </w:r>
      </w:hyperlink>
    </w:p>
    <w:p w14:paraId="01A23D0F" w14:textId="480D2999" w:rsidR="00AA3255" w:rsidRPr="00AA3255" w:rsidRDefault="00AA3255" w:rsidP="00AA3255">
      <w:pPr>
        <w:rPr>
          <w:rFonts w:ascii="Times New Roman" w:hAnsi="Times New Roman" w:cs="Times New Roman"/>
          <w:color w:val="333333"/>
          <w:spacing w:val="4"/>
          <w:shd w:val="clear" w:color="auto" w:fill="FCFCFC"/>
          <w:lang w:val="en-US"/>
        </w:rPr>
      </w:pPr>
    </w:p>
    <w:p w14:paraId="3C01BD2B" w14:textId="38375862" w:rsidR="00AA3255" w:rsidRPr="00AA3255" w:rsidRDefault="00AA3255" w:rsidP="00AA3255">
      <w:pPr>
        <w:rPr>
          <w:rFonts w:ascii="Times New Roman" w:hAnsi="Times New Roman" w:cs="Times New Roman"/>
          <w:lang w:val="en-US"/>
        </w:rPr>
      </w:pPr>
    </w:p>
    <w:p w14:paraId="63492CFD" w14:textId="77777777" w:rsidR="00AA3255" w:rsidRPr="00AA3255" w:rsidRDefault="00AA3255" w:rsidP="00AA3255">
      <w:pPr>
        <w:rPr>
          <w:rStyle w:val="a8"/>
          <w:rFonts w:ascii="Times New Roman" w:hAnsi="Times New Roman" w:cs="Times New Roman"/>
          <w:bCs/>
          <w:shd w:val="clear" w:color="auto" w:fill="FFFFFF"/>
          <w:lang w:val="en-US"/>
        </w:rPr>
      </w:pPr>
      <w:r w:rsidRPr="00AA3255">
        <w:rPr>
          <w:rFonts w:ascii="Times New Roman" w:hAnsi="Times New Roman" w:cs="Times New Roman"/>
          <w:bCs/>
          <w:lang w:val="en-US"/>
        </w:rPr>
        <w:t>Smirnov et al. Regenerative therapy of spinal cord injury: systematic review. Part 1. – Neurosurgery (</w:t>
      </w:r>
      <w:proofErr w:type="spellStart"/>
      <w:r w:rsidRPr="00AA3255">
        <w:rPr>
          <w:rFonts w:ascii="Times New Roman" w:hAnsi="Times New Roman" w:cs="Times New Roman"/>
          <w:bCs/>
          <w:lang w:val="en-US"/>
        </w:rPr>
        <w:t>Neurohirurgija</w:t>
      </w:r>
      <w:proofErr w:type="spellEnd"/>
      <w:r w:rsidRPr="00AA3255">
        <w:rPr>
          <w:rFonts w:ascii="Times New Roman" w:hAnsi="Times New Roman" w:cs="Times New Roman"/>
          <w:bCs/>
          <w:lang w:val="en-US"/>
        </w:rPr>
        <w:t xml:space="preserve">). – 2019.-Vol. 21.-№ 2.-Pp. 66-75. </w:t>
      </w:r>
      <w:hyperlink r:id="rId6" w:tgtFrame="_blank" w:history="1">
        <w:r w:rsidRPr="00AA3255">
          <w:rPr>
            <w:rStyle w:val="a8"/>
            <w:rFonts w:ascii="Times New Roman" w:hAnsi="Times New Roman" w:cs="Times New Roman"/>
            <w:shd w:val="clear" w:color="auto" w:fill="FFFFFF"/>
            <w:lang w:val="en-US"/>
          </w:rPr>
          <w:t>https://doi.org/10.17650/1683-3295-2019-21-2-66-75</w:t>
        </w:r>
      </w:hyperlink>
    </w:p>
    <w:p w14:paraId="094FD1A9" w14:textId="7DCB116A" w:rsidR="00AA3255" w:rsidRDefault="00AA3255" w:rsidP="00AA3255">
      <w:pPr>
        <w:rPr>
          <w:rStyle w:val="a8"/>
          <w:rFonts w:ascii="Times New Roman" w:hAnsi="Times New Roman" w:cs="Times New Roman"/>
          <w:bCs/>
          <w:color w:val="auto"/>
          <w:shd w:val="clear" w:color="auto" w:fill="FFFFFF"/>
        </w:rPr>
      </w:pPr>
      <w:r w:rsidRPr="00AA3255">
        <w:rPr>
          <w:rFonts w:ascii="Times New Roman" w:hAnsi="Times New Roman" w:cs="Times New Roman"/>
          <w:bCs/>
          <w:lang w:val="en-US"/>
        </w:rPr>
        <w:lastRenderedPageBreak/>
        <w:t>Smirnov et al. Regenerative therapy of spinal cord injury: systematic review. Part 2. – Neurosurgery (</w:t>
      </w:r>
      <w:proofErr w:type="spellStart"/>
      <w:r w:rsidRPr="00AA3255">
        <w:rPr>
          <w:rFonts w:ascii="Times New Roman" w:hAnsi="Times New Roman" w:cs="Times New Roman"/>
          <w:bCs/>
          <w:lang w:val="en-US"/>
        </w:rPr>
        <w:t>Neurohirurgija</w:t>
      </w:r>
      <w:proofErr w:type="spellEnd"/>
      <w:r w:rsidRPr="00AA3255">
        <w:rPr>
          <w:rFonts w:ascii="Times New Roman" w:hAnsi="Times New Roman" w:cs="Times New Roman"/>
          <w:bCs/>
          <w:lang w:val="en-US"/>
        </w:rPr>
        <w:t xml:space="preserve">). – 2019.-Vol 21.-№ 3.-Pp. 83-92. </w:t>
      </w:r>
      <w:hyperlink r:id="rId7" w:tgtFrame="_blank" w:history="1">
        <w:r w:rsidRPr="00AA3255">
          <w:rPr>
            <w:rStyle w:val="a8"/>
            <w:rFonts w:ascii="Times New Roman" w:hAnsi="Times New Roman" w:cs="Times New Roman"/>
            <w:shd w:val="clear" w:color="auto" w:fill="FFFFFF"/>
            <w:lang w:val="en-US"/>
          </w:rPr>
          <w:t>https://doi.org/10.17650/1683-3295-2019-21-3-83-92</w:t>
        </w:r>
      </w:hyperlink>
    </w:p>
    <w:p w14:paraId="72680751" w14:textId="77777777" w:rsidR="00AA3255" w:rsidRPr="00AA3255" w:rsidRDefault="00AA3255" w:rsidP="00AA3255">
      <w:pPr>
        <w:rPr>
          <w:rStyle w:val="a8"/>
          <w:rFonts w:ascii="Times New Roman" w:hAnsi="Times New Roman" w:cs="Times New Roman"/>
          <w:bCs/>
          <w:shd w:val="clear" w:color="auto" w:fill="FFFFFF"/>
          <w:lang w:val="en-US"/>
        </w:rPr>
      </w:pPr>
    </w:p>
    <w:p w14:paraId="562AFB83" w14:textId="77777777" w:rsidR="00AA3255" w:rsidRPr="00AA3255" w:rsidRDefault="00AA3255" w:rsidP="00AA3255">
      <w:pPr>
        <w:rPr>
          <w:rFonts w:ascii="Times New Roman" w:hAnsi="Times New Roman" w:cs="Times New Roman"/>
          <w:bCs/>
          <w:lang w:val="en-US"/>
        </w:rPr>
      </w:pPr>
      <w:r w:rsidRPr="00AA3255">
        <w:rPr>
          <w:rFonts w:ascii="Times New Roman" w:hAnsi="Times New Roman" w:cs="Times New Roman"/>
          <w:bCs/>
          <w:color w:val="000000"/>
          <w:lang w:val="en-US"/>
        </w:rPr>
        <w:t xml:space="preserve">Lvov et al. Comparison of the Long-term Results of Posterior </w:t>
      </w:r>
      <w:proofErr w:type="spellStart"/>
      <w:r w:rsidRPr="00AA3255">
        <w:rPr>
          <w:rFonts w:ascii="Times New Roman" w:hAnsi="Times New Roman" w:cs="Times New Roman"/>
          <w:bCs/>
          <w:color w:val="000000"/>
          <w:lang w:val="en-US"/>
        </w:rPr>
        <w:t>Transarticular</w:t>
      </w:r>
      <w:proofErr w:type="spellEnd"/>
      <w:r w:rsidRPr="00AA3255">
        <w:rPr>
          <w:rFonts w:ascii="Times New Roman" w:hAnsi="Times New Roman" w:cs="Times New Roman"/>
          <w:bCs/>
          <w:color w:val="000000"/>
          <w:lang w:val="en-US"/>
        </w:rPr>
        <w:t xml:space="preserve"> Stand-alone Screw Instrumentation and </w:t>
      </w:r>
      <w:proofErr w:type="spellStart"/>
      <w:r w:rsidRPr="00AA3255">
        <w:rPr>
          <w:rFonts w:ascii="Times New Roman" w:hAnsi="Times New Roman" w:cs="Times New Roman"/>
          <w:bCs/>
          <w:color w:val="000000"/>
          <w:lang w:val="en-US"/>
        </w:rPr>
        <w:t>Magerl</w:t>
      </w:r>
      <w:proofErr w:type="spellEnd"/>
      <w:r w:rsidRPr="00AA3255">
        <w:rPr>
          <w:rFonts w:ascii="Times New Roman" w:hAnsi="Times New Roman" w:cs="Times New Roman"/>
          <w:bCs/>
          <w:color w:val="000000"/>
          <w:lang w:val="en-US"/>
        </w:rPr>
        <w:t xml:space="preserve"> Technique in Patients with Traumatic Atlantoaxial Instability: Mean 5-Year Follow-up Study with a Radiological and Patient-related Outcomes </w:t>
      </w:r>
      <w:proofErr w:type="gramStart"/>
      <w:r w:rsidRPr="00AA3255">
        <w:rPr>
          <w:rFonts w:ascii="Times New Roman" w:hAnsi="Times New Roman" w:cs="Times New Roman"/>
          <w:bCs/>
          <w:color w:val="000000"/>
          <w:lang w:val="en-US"/>
        </w:rPr>
        <w:t>Assessment.-</w:t>
      </w:r>
      <w:proofErr w:type="gramEnd"/>
      <w:r w:rsidRPr="00AA3255">
        <w:rPr>
          <w:rFonts w:ascii="Times New Roman" w:hAnsi="Times New Roman" w:cs="Times New Roman"/>
          <w:bCs/>
          <w:lang w:val="en-US"/>
        </w:rPr>
        <w:t xml:space="preserve"> World Neurosurgery.-2019.-Feb.16-Epub. </w:t>
      </w:r>
      <w:proofErr w:type="spellStart"/>
      <w:r w:rsidRPr="00AA3255">
        <w:rPr>
          <w:rFonts w:ascii="Times New Roman" w:hAnsi="Times New Roman" w:cs="Times New Roman"/>
          <w:bCs/>
          <w:lang w:val="en-US"/>
        </w:rPr>
        <w:t>doi</w:t>
      </w:r>
      <w:proofErr w:type="spellEnd"/>
      <w:r w:rsidRPr="00AA3255">
        <w:rPr>
          <w:rFonts w:ascii="Times New Roman" w:hAnsi="Times New Roman" w:cs="Times New Roman"/>
          <w:bCs/>
          <w:lang w:val="en-US"/>
        </w:rPr>
        <w:t xml:space="preserve">: </w:t>
      </w:r>
      <w:hyperlink r:id="rId8" w:history="1">
        <w:r w:rsidRPr="00AA3255">
          <w:rPr>
            <w:rStyle w:val="a8"/>
            <w:rFonts w:ascii="Times New Roman" w:hAnsi="Times New Roman" w:cs="Times New Roman"/>
            <w:lang w:val="en-US"/>
          </w:rPr>
          <w:t>https://doi.org/10.1016/j.wneu.2019.01.263.-PP. 1 – 13</w:t>
        </w:r>
      </w:hyperlink>
      <w:r w:rsidRPr="00AA3255">
        <w:rPr>
          <w:rFonts w:ascii="Times New Roman" w:hAnsi="Times New Roman" w:cs="Times New Roman"/>
          <w:bCs/>
          <w:lang w:val="en-US"/>
        </w:rPr>
        <w:t>.</w:t>
      </w:r>
    </w:p>
    <w:p w14:paraId="31FEE83B" w14:textId="0520CCF8" w:rsidR="00AA3255" w:rsidRDefault="00AA3255">
      <w:pPr>
        <w:rPr>
          <w:rFonts w:ascii="Times New Roman" w:hAnsi="Times New Roman" w:cs="Times New Roman"/>
          <w:lang w:val="en-US"/>
        </w:rPr>
      </w:pPr>
    </w:p>
    <w:p w14:paraId="5663ED35" w14:textId="77777777" w:rsidR="00AA3255" w:rsidRPr="00AA3255" w:rsidRDefault="00AA3255">
      <w:pPr>
        <w:rPr>
          <w:rFonts w:ascii="Times New Roman" w:hAnsi="Times New Roman" w:cs="Times New Roman"/>
          <w:lang w:val="en-US"/>
        </w:rPr>
      </w:pPr>
    </w:p>
    <w:p w14:paraId="6CFB10B1" w14:textId="42B0DFEA" w:rsidR="007E3BC5" w:rsidRDefault="00AA3255">
      <w:pPr>
        <w:rPr>
          <w:rFonts w:ascii="Times New Roman" w:hAnsi="Times New Roman" w:cs="Times New Roman"/>
          <w:b/>
          <w:bCs/>
          <w:lang w:val="en-US"/>
        </w:rPr>
      </w:pPr>
      <w:r>
        <w:rPr>
          <w:rFonts w:ascii="Times New Roman" w:hAnsi="Times New Roman" w:cs="Times New Roman"/>
          <w:b/>
          <w:bCs/>
          <w:lang w:val="en-US"/>
        </w:rPr>
        <w:t>Photo:</w:t>
      </w:r>
    </w:p>
    <w:p w14:paraId="168AE528" w14:textId="77777777" w:rsidR="00AA3255" w:rsidRDefault="00AA3255">
      <w:pPr>
        <w:rPr>
          <w:rFonts w:ascii="Times New Roman" w:hAnsi="Times New Roman" w:cs="Times New Roman"/>
          <w:b/>
          <w:bCs/>
          <w:lang w:val="en-US"/>
        </w:rPr>
      </w:pPr>
    </w:p>
    <w:p w14:paraId="4A1F4A4F" w14:textId="720DDDBB" w:rsidR="007E3BC5" w:rsidRDefault="007E3BC5">
      <w:pPr>
        <w:rPr>
          <w:rFonts w:ascii="Times New Roman" w:hAnsi="Times New Roman" w:cs="Times New Roman"/>
          <w:b/>
          <w:bCs/>
          <w:noProof/>
        </w:rPr>
      </w:pPr>
      <w:r>
        <w:rPr>
          <w:rFonts w:ascii="Times New Roman" w:hAnsi="Times New Roman" w:cs="Times New Roman"/>
          <w:b/>
          <w:bCs/>
          <w:noProof/>
        </w:rPr>
        <w:drawing>
          <wp:inline distT="0" distB="0" distL="0" distR="0" wp14:anchorId="4C3715A4" wp14:editId="4A2E6CB9">
            <wp:extent cx="1271622" cy="169545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ото Гринь А.А..jpg"/>
                    <pic:cNvPicPr/>
                  </pic:nvPicPr>
                  <pic:blipFill>
                    <a:blip r:embed="rId9">
                      <a:extLst>
                        <a:ext uri="{28A0092B-C50C-407E-A947-70E740481C1C}">
                          <a14:useLocalDpi xmlns:a14="http://schemas.microsoft.com/office/drawing/2010/main" val="0"/>
                        </a:ext>
                      </a:extLst>
                    </a:blip>
                    <a:stretch>
                      <a:fillRect/>
                    </a:stretch>
                  </pic:blipFill>
                  <pic:spPr>
                    <a:xfrm>
                      <a:off x="0" y="0"/>
                      <a:ext cx="1283781" cy="1711662"/>
                    </a:xfrm>
                    <a:prstGeom prst="rect">
                      <a:avLst/>
                    </a:prstGeom>
                  </pic:spPr>
                </pic:pic>
              </a:graphicData>
            </a:graphic>
          </wp:inline>
        </w:drawing>
      </w:r>
    </w:p>
    <w:p w14:paraId="190037B0" w14:textId="533D4D2E" w:rsidR="007E3BC5" w:rsidRPr="007E3BC5" w:rsidRDefault="007E3BC5" w:rsidP="007E3BC5">
      <w:pPr>
        <w:rPr>
          <w:rFonts w:ascii="Times New Roman" w:hAnsi="Times New Roman" w:cs="Times New Roman"/>
        </w:rPr>
      </w:pPr>
    </w:p>
    <w:p w14:paraId="71C6CD6D" w14:textId="6985FE81" w:rsidR="007E3BC5" w:rsidRDefault="007E3BC5" w:rsidP="007E3BC5">
      <w:pPr>
        <w:rPr>
          <w:rFonts w:ascii="Times New Roman" w:hAnsi="Times New Roman" w:cs="Times New Roman"/>
          <w:b/>
          <w:bCs/>
          <w:noProof/>
        </w:rPr>
      </w:pPr>
    </w:p>
    <w:p w14:paraId="548185EF" w14:textId="77777777" w:rsidR="00AA3255" w:rsidRDefault="00AA3255" w:rsidP="007E3BC5">
      <w:pPr>
        <w:rPr>
          <w:rFonts w:ascii="Times New Roman" w:hAnsi="Times New Roman" w:cs="Times New Roman"/>
          <w:b/>
          <w:bCs/>
          <w:noProof/>
        </w:rPr>
      </w:pPr>
      <w:bookmarkStart w:id="0" w:name="_GoBack"/>
      <w:bookmarkEnd w:id="0"/>
    </w:p>
    <w:p w14:paraId="5BE18BCE" w14:textId="6EDA36CB" w:rsidR="007E3BC5" w:rsidRDefault="007E3BC5" w:rsidP="007E3BC5">
      <w:pPr>
        <w:rPr>
          <w:rFonts w:ascii="Times New Roman" w:hAnsi="Times New Roman" w:cs="Times New Roman"/>
          <w:b/>
          <w:bCs/>
          <w:lang w:val="en-US"/>
        </w:rPr>
      </w:pPr>
      <w:r w:rsidRPr="007E3BC5">
        <w:rPr>
          <w:rFonts w:ascii="Times New Roman" w:hAnsi="Times New Roman" w:cs="Times New Roman"/>
          <w:b/>
          <w:bCs/>
          <w:lang w:val="en-US"/>
        </w:rPr>
        <w:t>Professional biography:</w:t>
      </w:r>
    </w:p>
    <w:p w14:paraId="725AA047" w14:textId="77777777" w:rsidR="007E3BC5" w:rsidRDefault="007E3BC5" w:rsidP="007E3BC5">
      <w:pPr>
        <w:rPr>
          <w:rFonts w:ascii="Times New Roman" w:hAnsi="Times New Roman" w:cs="Times New Roman"/>
          <w:lang w:val="en-US"/>
        </w:rPr>
      </w:pPr>
    </w:p>
    <w:p w14:paraId="4475018E" w14:textId="4ABC406F" w:rsidR="007E3BC5" w:rsidRPr="007E3BC5" w:rsidRDefault="007E3BC5" w:rsidP="007E3BC5">
      <w:pPr>
        <w:rPr>
          <w:rFonts w:ascii="Times New Roman" w:hAnsi="Times New Roman" w:cs="Times New Roman"/>
          <w:lang w:val="en-US"/>
        </w:rPr>
      </w:pPr>
      <w:r w:rsidRPr="007E3BC5">
        <w:rPr>
          <w:rFonts w:ascii="Times New Roman" w:hAnsi="Times New Roman" w:cs="Times New Roman"/>
          <w:lang w:val="en-US"/>
        </w:rPr>
        <w:t xml:space="preserve">Andrew A. Grin’ </w:t>
      </w:r>
      <w:r>
        <w:rPr>
          <w:rFonts w:ascii="Times New Roman" w:hAnsi="Times New Roman" w:cs="Times New Roman"/>
          <w:lang w:val="en-US"/>
        </w:rPr>
        <w:t xml:space="preserve">M.D., Ph.D., Prof., </w:t>
      </w:r>
      <w:r w:rsidRPr="007E3BC5">
        <w:rPr>
          <w:rFonts w:ascii="Times New Roman" w:hAnsi="Times New Roman" w:cs="Times New Roman"/>
          <w:lang w:val="en-US"/>
        </w:rPr>
        <w:t>is the Head</w:t>
      </w:r>
      <w:r>
        <w:rPr>
          <w:rFonts w:ascii="Times New Roman" w:hAnsi="Times New Roman" w:cs="Times New Roman"/>
          <w:lang w:val="en-US"/>
        </w:rPr>
        <w:t xml:space="preserve"> of Neurosurgical Department of N.V. </w:t>
      </w:r>
      <w:proofErr w:type="spellStart"/>
      <w:r>
        <w:rPr>
          <w:rFonts w:ascii="Times New Roman" w:hAnsi="Times New Roman" w:cs="Times New Roman"/>
          <w:lang w:val="en-US"/>
        </w:rPr>
        <w:t>Sklifosovsky</w:t>
      </w:r>
      <w:proofErr w:type="spellEnd"/>
      <w:r>
        <w:rPr>
          <w:rFonts w:ascii="Times New Roman" w:hAnsi="Times New Roman" w:cs="Times New Roman"/>
          <w:lang w:val="en-US"/>
        </w:rPr>
        <w:t xml:space="preserve"> Emergency Care Institute, Senior Neurosurgeon of Moscow Department of Healthcare. Highly experienced in spine surgery for more than 30 years. Has more than 500 publications in Russian and International Journals.</w:t>
      </w:r>
    </w:p>
    <w:sectPr w:rsidR="007E3BC5" w:rsidRPr="007E3BC5" w:rsidSect="007E3BC5">
      <w:pgSz w:w="11900" w:h="16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w Cen MT">
    <w:altName w:val="Tw Cen MT"/>
    <w:charset w:val="00"/>
    <w:family w:val="swiss"/>
    <w:pitch w:val="variable"/>
    <w:sig w:usb0="00000003"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93"/>
    <w:rsid w:val="00091837"/>
    <w:rsid w:val="000A1DBE"/>
    <w:rsid w:val="000B0DA8"/>
    <w:rsid w:val="001F1C32"/>
    <w:rsid w:val="00220B61"/>
    <w:rsid w:val="002F0B98"/>
    <w:rsid w:val="00422284"/>
    <w:rsid w:val="007A51C7"/>
    <w:rsid w:val="007E3BC5"/>
    <w:rsid w:val="00822955"/>
    <w:rsid w:val="00914E13"/>
    <w:rsid w:val="0096078B"/>
    <w:rsid w:val="00A4460B"/>
    <w:rsid w:val="00A81618"/>
    <w:rsid w:val="00AA3255"/>
    <w:rsid w:val="00B33782"/>
    <w:rsid w:val="00B3739B"/>
    <w:rsid w:val="00C04584"/>
    <w:rsid w:val="00D04CA6"/>
    <w:rsid w:val="00D633F3"/>
    <w:rsid w:val="00DB07E8"/>
    <w:rsid w:val="00F50493"/>
    <w:rsid w:val="00FF1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AE1C9"/>
  <w14:defaultImageDpi w14:val="32767"/>
  <w15:chartTrackingRefBased/>
  <w15:docId w15:val="{771DD377-23D6-C04F-8BFB-A3BF2FE4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paragraph" w:styleId="3">
    <w:name w:val="heading 3"/>
    <w:basedOn w:val="a"/>
    <w:link w:val="30"/>
    <w:uiPriority w:val="1"/>
    <w:qFormat/>
    <w:rsid w:val="00822955"/>
    <w:pPr>
      <w:widowControl w:val="0"/>
      <w:ind w:left="100"/>
      <w:outlineLvl w:val="2"/>
    </w:pPr>
    <w:rPr>
      <w:rFonts w:ascii="Arial" w:eastAsia="Arial" w:hAnsi="Arial" w:cs="Arial"/>
      <w:b/>
      <w:bCs/>
      <w:sz w:val="20"/>
      <w:szCs w:val="20"/>
      <w:lang w:val="en-US"/>
    </w:rPr>
  </w:style>
  <w:style w:type="paragraph" w:styleId="6">
    <w:name w:val="heading 6"/>
    <w:basedOn w:val="a"/>
    <w:next w:val="a"/>
    <w:link w:val="60"/>
    <w:uiPriority w:val="9"/>
    <w:semiHidden/>
    <w:unhideWhenUsed/>
    <w:qFormat/>
    <w:rsid w:val="007A51C7"/>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22955"/>
    <w:rPr>
      <w:b/>
      <w:bCs/>
    </w:rPr>
  </w:style>
  <w:style w:type="paragraph" w:styleId="a4">
    <w:name w:val="Body Text"/>
    <w:basedOn w:val="a"/>
    <w:link w:val="a5"/>
    <w:uiPriority w:val="1"/>
    <w:qFormat/>
    <w:rsid w:val="00822955"/>
    <w:pPr>
      <w:widowControl w:val="0"/>
    </w:pPr>
    <w:rPr>
      <w:rFonts w:ascii="Tw Cen MT" w:eastAsia="Tw Cen MT" w:hAnsi="Tw Cen MT" w:cs="Tw Cen MT"/>
      <w:sz w:val="18"/>
      <w:szCs w:val="18"/>
      <w:lang w:val="en-US"/>
    </w:rPr>
  </w:style>
  <w:style w:type="character" w:customStyle="1" w:styleId="a5">
    <w:name w:val="Основной текст Знак"/>
    <w:basedOn w:val="a0"/>
    <w:link w:val="a4"/>
    <w:uiPriority w:val="1"/>
    <w:rsid w:val="00822955"/>
    <w:rPr>
      <w:rFonts w:ascii="Tw Cen MT" w:eastAsia="Tw Cen MT" w:hAnsi="Tw Cen MT" w:cs="Tw Cen MT"/>
      <w:sz w:val="18"/>
      <w:szCs w:val="18"/>
      <w:lang w:val="en-US"/>
    </w:rPr>
  </w:style>
  <w:style w:type="character" w:customStyle="1" w:styleId="30">
    <w:name w:val="Заголовок 3 Знак"/>
    <w:basedOn w:val="a0"/>
    <w:link w:val="3"/>
    <w:uiPriority w:val="1"/>
    <w:rsid w:val="00822955"/>
    <w:rPr>
      <w:rFonts w:ascii="Arial" w:eastAsia="Arial" w:hAnsi="Arial" w:cs="Arial"/>
      <w:b/>
      <w:bCs/>
      <w:sz w:val="20"/>
      <w:szCs w:val="20"/>
      <w:lang w:val="en-US"/>
    </w:rPr>
  </w:style>
  <w:style w:type="paragraph" w:customStyle="1" w:styleId="0">
    <w:name w:val="Основной_0 Знак"/>
    <w:basedOn w:val="a"/>
    <w:rsid w:val="00822955"/>
    <w:pPr>
      <w:suppressAutoHyphens/>
      <w:overflowPunct w:val="0"/>
      <w:autoSpaceDE w:val="0"/>
      <w:ind w:firstLine="680"/>
      <w:jc w:val="both"/>
      <w:textAlignment w:val="baseline"/>
    </w:pPr>
    <w:rPr>
      <w:rFonts w:ascii="Times New Roman" w:eastAsia="Times New Roman" w:hAnsi="Times New Roman" w:cs="Calibri"/>
      <w:sz w:val="26"/>
      <w:szCs w:val="20"/>
      <w:lang w:eastAsia="ar-SA"/>
    </w:rPr>
  </w:style>
  <w:style w:type="paragraph" w:customStyle="1" w:styleId="00">
    <w:name w:val="Основной_0"/>
    <w:basedOn w:val="a"/>
    <w:autoRedefine/>
    <w:rsid w:val="007A51C7"/>
    <w:pPr>
      <w:tabs>
        <w:tab w:val="left" w:pos="720"/>
      </w:tabs>
      <w:spacing w:line="360" w:lineRule="auto"/>
      <w:ind w:firstLine="680"/>
      <w:jc w:val="both"/>
    </w:pPr>
    <w:rPr>
      <w:rFonts w:ascii="Times New Roman" w:eastAsia="Times New Roman" w:hAnsi="Times New Roman" w:cs="Times New Roman"/>
      <w:sz w:val="28"/>
      <w:szCs w:val="28"/>
      <w:lang w:eastAsia="ru-RU"/>
    </w:rPr>
  </w:style>
  <w:style w:type="character" w:customStyle="1" w:styleId="60">
    <w:name w:val="Заголовок 6 Знак"/>
    <w:basedOn w:val="a0"/>
    <w:link w:val="6"/>
    <w:uiPriority w:val="9"/>
    <w:semiHidden/>
    <w:rsid w:val="007A51C7"/>
    <w:rPr>
      <w:rFonts w:asciiTheme="majorHAnsi" w:eastAsiaTheme="majorEastAsia" w:hAnsiTheme="majorHAnsi" w:cstheme="majorBidi"/>
      <w:color w:val="1F3763" w:themeColor="accent1" w:themeShade="7F"/>
    </w:rPr>
  </w:style>
  <w:style w:type="character" w:customStyle="1" w:styleId="61">
    <w:name w:val="Заголовок 6 Знак1"/>
    <w:uiPriority w:val="99"/>
    <w:locked/>
    <w:rsid w:val="007A51C7"/>
    <w:rPr>
      <w:rFonts w:ascii="Times New Roman" w:eastAsia="Times New Roman" w:hAnsi="Times New Roman" w:cs="Calibri"/>
      <w:b/>
      <w:bCs/>
      <w:sz w:val="22"/>
      <w:szCs w:val="22"/>
      <w:lang w:eastAsia="ar-SA"/>
    </w:rPr>
  </w:style>
  <w:style w:type="paragraph" w:customStyle="1" w:styleId="a6">
    <w:name w:val="Основной_Рис_П Знак Знак"/>
    <w:basedOn w:val="a"/>
    <w:rsid w:val="007A51C7"/>
    <w:pPr>
      <w:keepNext/>
      <w:tabs>
        <w:tab w:val="left" w:pos="720"/>
        <w:tab w:val="left" w:pos="1080"/>
      </w:tabs>
      <w:overflowPunct w:val="0"/>
      <w:autoSpaceDE w:val="0"/>
      <w:autoSpaceDN w:val="0"/>
      <w:adjustRightInd w:val="0"/>
      <w:jc w:val="both"/>
      <w:textAlignment w:val="baseline"/>
    </w:pPr>
    <w:rPr>
      <w:rFonts w:ascii="Times New Roman" w:eastAsia="Times New Roman" w:hAnsi="Times New Roman" w:cs="Times New Roman"/>
      <w:szCs w:val="20"/>
      <w:lang w:eastAsia="ru-RU"/>
    </w:rPr>
  </w:style>
  <w:style w:type="paragraph" w:customStyle="1" w:styleId="a7">
    <w:name w:val="Основной_Мин"/>
    <w:basedOn w:val="0"/>
    <w:autoRedefine/>
    <w:rsid w:val="007A51C7"/>
    <w:pPr>
      <w:tabs>
        <w:tab w:val="left" w:pos="720"/>
      </w:tabs>
      <w:suppressAutoHyphens w:val="0"/>
      <w:overflowPunct/>
      <w:autoSpaceDE/>
      <w:ind w:firstLine="0"/>
      <w:textAlignment w:val="auto"/>
    </w:pPr>
    <w:rPr>
      <w:rFonts w:cs="Times New Roman"/>
      <w:sz w:val="22"/>
      <w:szCs w:val="22"/>
      <w:lang w:val="en-US" w:eastAsia="ru-RU"/>
    </w:rPr>
  </w:style>
  <w:style w:type="character" w:styleId="a8">
    <w:name w:val="Hyperlink"/>
    <w:uiPriority w:val="99"/>
    <w:rsid w:val="00AA32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32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wneu.2019.01.263.-PP.%201%20&#8211;%2013" TargetMode="External"/><Relationship Id="rId3" Type="http://schemas.openxmlformats.org/officeDocument/2006/relationships/webSettings" Target="webSettings.xml"/><Relationship Id="rId7" Type="http://schemas.openxmlformats.org/officeDocument/2006/relationships/hyperlink" Target="https://doi.org/10.17650/1683-3295-2019-21-3-83-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7650/1683-3295-2019-21-2-66-75" TargetMode="External"/><Relationship Id="rId11" Type="http://schemas.openxmlformats.org/officeDocument/2006/relationships/theme" Target="theme/theme1.xml"/><Relationship Id="rId5" Type="http://schemas.openxmlformats.org/officeDocument/2006/relationships/hyperlink" Target="https://doi.org/10.1016/j.neucir.2019.08.006"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773</Words>
  <Characters>4411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Кордонский</dc:creator>
  <cp:keywords/>
  <dc:description/>
  <cp:lastModifiedBy>Владимир Смирнов</cp:lastModifiedBy>
  <cp:revision>5</cp:revision>
  <dcterms:created xsi:type="dcterms:W3CDTF">2020-04-28T19:26:00Z</dcterms:created>
  <dcterms:modified xsi:type="dcterms:W3CDTF">2020-04-30T16:45:00Z</dcterms:modified>
</cp:coreProperties>
</file>