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35A11" w14:textId="20B97CAC" w:rsidR="00AE3E37" w:rsidRDefault="00082E46" w:rsidP="00494130">
      <w:pPr>
        <w:pStyle w:val="Titolo1"/>
        <w:spacing w:before="170"/>
        <w:ind w:left="0"/>
      </w:pPr>
      <w:bookmarkStart w:id="0" w:name="_Hlk8997577"/>
      <w:bookmarkEnd w:id="0"/>
      <w:r>
        <w:rPr>
          <w:color w:val="337AB7"/>
        </w:rPr>
        <w:t xml:space="preserve">Title: </w:t>
      </w:r>
      <w:r w:rsidR="002F7E74">
        <w:rPr>
          <w:color w:val="337AB7"/>
        </w:rPr>
        <w:t>Patient Blood Management in Major Spine Surgery</w:t>
      </w:r>
    </w:p>
    <w:p w14:paraId="5BA30DF9" w14:textId="57E67FBB" w:rsidR="005973B9" w:rsidRPr="002F7E74" w:rsidRDefault="002F7E74" w:rsidP="00D604EE">
      <w:pPr>
        <w:pStyle w:val="Corpotesto"/>
        <w:spacing w:before="73" w:line="198" w:lineRule="exact"/>
        <w:ind w:right="5987"/>
        <w:rPr>
          <w:rFonts w:ascii="Arial"/>
          <w:lang w:val="it-IT"/>
        </w:rPr>
      </w:pPr>
      <w:r w:rsidRPr="002F7E74">
        <w:rPr>
          <w:rFonts w:ascii="Arial"/>
          <w:lang w:val="it-IT"/>
        </w:rPr>
        <w:t>Dr. Sandra Giannone</w:t>
      </w:r>
      <w:r w:rsidR="00D604EE" w:rsidRPr="002F7E74">
        <w:rPr>
          <w:rFonts w:ascii="Arial"/>
          <w:lang w:val="it-IT"/>
        </w:rPr>
        <w:t xml:space="preserve">, </w:t>
      </w:r>
      <w:r w:rsidRPr="002F7E74">
        <w:rPr>
          <w:rFonts w:ascii="Arial"/>
          <w:lang w:val="it-IT"/>
        </w:rPr>
        <w:t>IRCCS Istituto</w:t>
      </w:r>
      <w:r>
        <w:rPr>
          <w:rFonts w:ascii="Arial"/>
          <w:lang w:val="it-IT"/>
        </w:rPr>
        <w:t xml:space="preserve"> Ortopedico Rizzoli, Bologna </w:t>
      </w:r>
      <w:proofErr w:type="spellStart"/>
      <w:r>
        <w:rPr>
          <w:rFonts w:ascii="Arial"/>
          <w:lang w:val="it-IT"/>
        </w:rPr>
        <w:t>Italy</w:t>
      </w:r>
      <w:proofErr w:type="spellEnd"/>
    </w:p>
    <w:p w14:paraId="39357B61" w14:textId="77777777" w:rsidR="002F7E74" w:rsidRPr="002F7E74" w:rsidRDefault="002F7E74" w:rsidP="002F7E74">
      <w:pPr>
        <w:pStyle w:val="Corpotesto"/>
        <w:spacing w:before="73" w:line="198" w:lineRule="exact"/>
        <w:ind w:right="5987"/>
        <w:rPr>
          <w:rFonts w:ascii="Arial"/>
          <w:lang w:val="it-IT"/>
        </w:rPr>
      </w:pPr>
      <w:r w:rsidRPr="002F7E74">
        <w:rPr>
          <w:rFonts w:ascii="Arial"/>
          <w:sz w:val="20"/>
          <w:lang w:val="it-IT"/>
        </w:rPr>
        <w:t>Dr. Daniela Ghisi, Dr A</w:t>
      </w:r>
      <w:r>
        <w:rPr>
          <w:rFonts w:ascii="Arial"/>
          <w:sz w:val="20"/>
          <w:lang w:val="it-IT"/>
        </w:rPr>
        <w:t xml:space="preserve">lessandro Ricci, </w:t>
      </w:r>
      <w:r w:rsidRPr="002F7E74">
        <w:rPr>
          <w:rFonts w:ascii="Arial"/>
          <w:lang w:val="it-IT"/>
        </w:rPr>
        <w:t>IRCCS Istituto</w:t>
      </w:r>
      <w:r>
        <w:rPr>
          <w:rFonts w:ascii="Arial"/>
          <w:lang w:val="it-IT"/>
        </w:rPr>
        <w:t xml:space="preserve"> Ortopedico Rizzoli, Bologna </w:t>
      </w:r>
      <w:proofErr w:type="spellStart"/>
      <w:r>
        <w:rPr>
          <w:rFonts w:ascii="Arial"/>
          <w:lang w:val="it-IT"/>
        </w:rPr>
        <w:t>Italy</w:t>
      </w:r>
      <w:proofErr w:type="spellEnd"/>
    </w:p>
    <w:p w14:paraId="195BF475" w14:textId="53CB0437" w:rsidR="00AE3E37" w:rsidRPr="002F7E74" w:rsidRDefault="00AE3E37" w:rsidP="009C1181">
      <w:pPr>
        <w:pStyle w:val="Corpotesto"/>
        <w:spacing w:before="73" w:line="198" w:lineRule="exact"/>
        <w:ind w:right="5987"/>
        <w:rPr>
          <w:rFonts w:ascii="Arial"/>
          <w:lang w:val="it-IT"/>
        </w:rPr>
      </w:pPr>
    </w:p>
    <w:p w14:paraId="77BDEEAA" w14:textId="77777777" w:rsidR="00AE3E37" w:rsidRPr="002F7E74" w:rsidRDefault="00AE3E37">
      <w:pPr>
        <w:pStyle w:val="Corpotesto"/>
        <w:spacing w:before="3"/>
        <w:rPr>
          <w:rFonts w:ascii="Arial"/>
          <w:sz w:val="21"/>
          <w:lang w:val="it-IT"/>
        </w:rPr>
      </w:pPr>
    </w:p>
    <w:p w14:paraId="4C79D882" w14:textId="77777777" w:rsidR="00AE3E37" w:rsidRPr="002F7E74" w:rsidRDefault="00AE3E37">
      <w:pPr>
        <w:rPr>
          <w:rFonts w:ascii="Arial"/>
          <w:sz w:val="21"/>
          <w:lang w:val="it-IT"/>
        </w:rPr>
        <w:sectPr w:rsidR="00AE3E37" w:rsidRPr="002F7E74" w:rsidSect="00CA4143">
          <w:headerReference w:type="default" r:id="rId7"/>
          <w:footerReference w:type="default" r:id="rId8"/>
          <w:type w:val="continuous"/>
          <w:pgSz w:w="11910" w:h="16840"/>
          <w:pgMar w:top="1971" w:right="600" w:bottom="840" w:left="620" w:header="541" w:footer="642" w:gutter="0"/>
          <w:cols w:space="720"/>
        </w:sectPr>
      </w:pPr>
    </w:p>
    <w:p w14:paraId="7973CAAA" w14:textId="3CA7FCCE" w:rsidR="00AE3E37" w:rsidRDefault="00A9710C">
      <w:pPr>
        <w:pStyle w:val="Titolo3"/>
        <w:spacing w:before="147"/>
        <w:jc w:val="both"/>
      </w:pPr>
      <w:r>
        <w:rPr>
          <w:color w:val="BF5A14"/>
        </w:rPr>
        <w:t>Abstract</w:t>
      </w:r>
    </w:p>
    <w:p w14:paraId="40AF5A8B" w14:textId="0AAAA746" w:rsidR="006B4207" w:rsidRDefault="00A9710C" w:rsidP="008E58BE">
      <w:pPr>
        <w:pStyle w:val="Corpotesto"/>
        <w:spacing w:before="90" w:line="280" w:lineRule="auto"/>
        <w:ind w:left="100"/>
        <w:jc w:val="both"/>
        <w:rPr>
          <w:color w:val="BF5A14"/>
        </w:rPr>
      </w:pPr>
      <w:r w:rsidRPr="002F7E74">
        <w:rPr>
          <w:b/>
          <w:bCs/>
        </w:rPr>
        <w:t>Statement of the Problem</w:t>
      </w:r>
      <w:r>
        <w:t>:</w:t>
      </w:r>
      <w:r w:rsidR="00EB1F92">
        <w:rPr>
          <w:szCs w:val="24"/>
        </w:rPr>
        <w:t xml:space="preserve"> Patient Blood Management</w:t>
      </w:r>
      <w:r w:rsidR="00702F3A">
        <w:rPr>
          <w:szCs w:val="24"/>
        </w:rPr>
        <w:t xml:space="preserve"> (PBM) </w:t>
      </w:r>
      <w:r w:rsidR="00EB1F92">
        <w:rPr>
          <w:szCs w:val="24"/>
        </w:rPr>
        <w:t xml:space="preserve">is a multimodal, multidisciplinary strategy that aims at reducing </w:t>
      </w:r>
      <w:r w:rsidR="00702F3A">
        <w:rPr>
          <w:szCs w:val="24"/>
        </w:rPr>
        <w:t>surgical</w:t>
      </w:r>
      <w:r w:rsidR="00EB1F92">
        <w:rPr>
          <w:szCs w:val="24"/>
        </w:rPr>
        <w:t xml:space="preserve"> associated transfusions by acting on three great “pillars”: optimizing erythropoiesis, reducing blood loss and promoting the use of restrictive transfusion thresholds while maximizing anemia tolerance.</w:t>
      </w:r>
      <w:r w:rsidR="002F7E74">
        <w:t xml:space="preserve"> </w:t>
      </w:r>
      <w:r w:rsidR="00702F3A">
        <w:t xml:space="preserve">Complex surgical spine procedures have a high peri-operative transfusion rate, up to 60-70%, which is consistent with our current practice. </w:t>
      </w:r>
      <w:r>
        <w:t>The purpose of this study is to</w:t>
      </w:r>
      <w:r w:rsidR="00404E5B">
        <w:t xml:space="preserve"> </w:t>
      </w:r>
      <w:r>
        <w:t xml:space="preserve">describe </w:t>
      </w:r>
      <w:r w:rsidR="00702F3A">
        <w:t xml:space="preserve">how the implementation of a three pillar PBM program </w:t>
      </w:r>
      <w:r w:rsidR="00CE719F">
        <w:t xml:space="preserve">has changed the transfusion rate in patients undergoing major spine surgery in our institution. </w:t>
      </w:r>
      <w:r w:rsidRPr="002F7E74">
        <w:rPr>
          <w:b/>
          <w:bCs/>
        </w:rPr>
        <w:t>Methodolog</w:t>
      </w:r>
      <w:r w:rsidR="0078738A" w:rsidRPr="002F7E74">
        <w:rPr>
          <w:b/>
          <w:bCs/>
        </w:rPr>
        <w:t>y</w:t>
      </w:r>
      <w:r w:rsidR="0078738A">
        <w:t xml:space="preserve">: </w:t>
      </w:r>
      <w:r w:rsidR="00CE719F">
        <w:t xml:space="preserve">We </w:t>
      </w:r>
      <w:r w:rsidR="002C680A">
        <w:t>planned</w:t>
      </w:r>
      <w:r w:rsidR="00CE719F">
        <w:t xml:space="preserve"> a before-after observational study: patients in the “before” group were treated according to standard of care before the implementation of the PBM program. Patient in the “after” group were treated according to the recommendations of PBM, among which the most important were: 1. Diagnosis and treatment of pre-operative anemia</w:t>
      </w:r>
      <w:r w:rsidR="002C680A">
        <w:t>: all patients were screened for the presence and causes of anemia at least 4 weeks before surgery, and treated with iron/vitaminB12 supplements according to laboratory results.</w:t>
      </w:r>
      <w:r w:rsidR="00CE719F">
        <w:t xml:space="preserve"> 2. Use of technical and pharmacological techniques to minimize blood loss</w:t>
      </w:r>
      <w:r w:rsidR="002C680A">
        <w:t>: all patients without contraindications received intravenous tranexamic acid</w:t>
      </w:r>
      <w:r w:rsidR="0061609A">
        <w:t>; p</w:t>
      </w:r>
      <w:r w:rsidR="002C680A">
        <w:t>osition was optimized</w:t>
      </w:r>
      <w:r w:rsidR="0061609A">
        <w:t>; maintenance f normothermia was ensured;</w:t>
      </w:r>
      <w:r w:rsidR="002C680A">
        <w:t xml:space="preserve"> </w:t>
      </w:r>
      <w:r w:rsidR="0061609A">
        <w:t>d</w:t>
      </w:r>
      <w:r w:rsidR="002C680A">
        <w:t>iligent hemostatic surgical technique was applied</w:t>
      </w:r>
      <w:r w:rsidR="00CE719F">
        <w:t xml:space="preserve"> 3. Application of restrictive transfusion threshold</w:t>
      </w:r>
      <w:r w:rsidR="002C680A">
        <w:t xml:space="preserve">: in the hemodynamically stable patients, a threshold of Hemoglobin 7-8 g/dl was applied. </w:t>
      </w:r>
      <w:r w:rsidR="002C680A" w:rsidRPr="002C680A">
        <w:rPr>
          <w:b/>
          <w:bCs/>
        </w:rPr>
        <w:t>Results and conclusion</w:t>
      </w:r>
      <w:r w:rsidR="002C680A">
        <w:t>: The study is sill ongoing. We plan to enroll 50 patients per group to perform data analys</w:t>
      </w:r>
      <w:r w:rsidR="00751B44">
        <w:t xml:space="preserve">is. </w:t>
      </w:r>
      <w:r w:rsidR="00751B44">
        <w:fldChar w:fldCharType="begin"/>
      </w:r>
      <w:r w:rsidR="00751B44">
        <w:instrText xml:space="preserve"> ADDIN EN.CITE &lt;EndNote&gt;&lt;Cite&gt;&lt;Author&gt;Torres-Claramunt&lt;/Author&gt;&lt;Year&gt;2012&lt;/Year&gt;&lt;IDText&gt;Predictors of blood transfusion in patients undergoing elective surgery for degenerative conditions of the spine&lt;/IDText&gt;&lt;DisplayText&gt;(Torres-Claramunt et al., 2012)&lt;/DisplayText&gt;&lt;record&gt;&lt;dates&gt;&lt;pub-dates&gt;&lt;date&gt;Oct&lt;/date&gt;&lt;/pub-dates&gt;&lt;year&gt;2012&lt;/year&gt;&lt;/dates&gt;&lt;keywords&gt;&lt;keyword&gt;Adult&lt;/keyword&gt;&lt;keyword&gt;Aged&lt;/keyword&gt;&lt;keyword&gt;*Blood Transfusion&lt;/keyword&gt;&lt;keyword&gt;Elective Surgical Procedures&lt;/keyword&gt;&lt;keyword&gt;Female&lt;/keyword&gt;&lt;keyword&gt;Humans&lt;/keyword&gt;&lt;keyword&gt;Lumbar Vertebrae/*surgery&lt;/keyword&gt;&lt;keyword&gt;Male&lt;/keyword&gt;&lt;keyword&gt;Middle Aged&lt;/keyword&gt;&lt;keyword&gt;Retrospective Studies&lt;/keyword&gt;&lt;keyword&gt;Risk Factors&lt;/keyword&gt;&lt;keyword&gt;Spinal Diseases/*surgery&lt;/keyword&gt;&lt;keyword&gt;Spine/*surgery&lt;/keyword&gt;&lt;/keywords&gt;&lt;urls&gt;&lt;related-urls&gt;&lt;url&gt;http://dx.doi.org/10.1007/s00402-012-1563-y&lt;/url&gt;&lt;/related-urls&gt;&lt;/urls&gt;&lt;isbn&gt;0936-8051&lt;/isbn&gt;&lt;titles&gt;&lt;title&gt;Predictors of blood transfusion in patients undergoing elective surgery for degenerative conditions of the spine&lt;/title&gt;&lt;secondary-title&gt;Arch Orthop Trauma Surg&lt;/secondary-title&gt;&lt;/titles&gt;&lt;pages&gt;1393-8&lt;/pages&gt;&lt;number&gt;10&lt;/number&gt;&lt;contributors&gt;&lt;authors&gt;&lt;author&gt;Torres-Claramunt, R.&lt;/author&gt;&lt;author&gt;Ramirez, M.&lt;/author&gt;&lt;author&gt;Lopez-Soques, M.&lt;/author&gt;&lt;author&gt;Salo, G.&lt;/author&gt;&lt;author&gt;Molina-Ros, A.&lt;/author&gt;&lt;author&gt;Llado, A.&lt;/author&gt;&lt;author&gt;Caceres, E.&lt;/author&gt;&lt;/authors&gt;&lt;/contributors&gt;&lt;edition&gt;2012/06/19&lt;/edition&gt;&lt;language&gt;eng&lt;/language&gt;&lt;added-date format="utc"&gt;1587835036&lt;/added-date&gt;&lt;ref-type name="Journal Article"&gt;17&lt;/ref-type&gt;&lt;auth-address&gt;Orthopaedic Departement Parc de Salut Mar, Universitat Autonoma Barcelona, Passeig Maritim 25-29, 08003 Barcelona, Spain. RTorresClaramunt@parcdesalutmar.cat&lt;/auth-address&gt;&lt;remote-database-provider&gt;NLM&lt;/remote-database-provider&gt;&lt;rec-number&gt;228&lt;/rec-number&gt;&lt;last-updated-date format="utc"&gt;1587835036&lt;/last-updated-date&gt;&lt;accession-num&gt;22707213&lt;/accession-num&gt;&lt;electronic-resource-num&gt;10.1007/s00402-012-1563-y&lt;/electronic-resource-num&gt;&lt;volume&gt;132&lt;/volume&gt;&lt;/record&gt;&lt;/Cite&gt;&lt;/EndNote&gt;</w:instrText>
      </w:r>
      <w:r w:rsidR="00751B44">
        <w:fldChar w:fldCharType="separate"/>
      </w:r>
      <w:r w:rsidR="00751B44">
        <w:fldChar w:fldCharType="end"/>
      </w:r>
    </w:p>
    <w:p w14:paraId="3C07DFDF" w14:textId="0A687AF1" w:rsidR="00AE3E37" w:rsidRDefault="00A9710C">
      <w:pPr>
        <w:pStyle w:val="Titolo3"/>
        <w:spacing w:before="74"/>
      </w:pPr>
      <w:r>
        <w:rPr>
          <w:color w:val="BF5A14"/>
        </w:rPr>
        <w:t>Image</w:t>
      </w:r>
    </w:p>
    <w:p w14:paraId="15243E30" w14:textId="498D73F8" w:rsidR="00AE3E37" w:rsidRDefault="006B4207">
      <w:pPr>
        <w:pStyle w:val="Corpotesto"/>
        <w:spacing w:before="2"/>
        <w:rPr>
          <w:rFonts w:ascii="Arial"/>
          <w:b/>
          <w:sz w:val="16"/>
        </w:rPr>
      </w:pPr>
      <w:r w:rsidRPr="006B4207">
        <w:rPr>
          <w:rFonts w:ascii="Arial"/>
          <w:b/>
          <w:noProof/>
          <w:sz w:val="16"/>
        </w:rPr>
        <w:drawing>
          <wp:inline distT="0" distB="0" distL="0" distR="0" wp14:anchorId="52A6DFFD" wp14:editId="061FD93A">
            <wp:extent cx="3165475" cy="2262505"/>
            <wp:effectExtent l="0" t="0" r="0" b="4445"/>
            <wp:docPr id="10" name="Picture 9">
              <a:extLst xmlns:a="http://schemas.openxmlformats.org/drawingml/2006/main">
                <a:ext uri="{FF2B5EF4-FFF2-40B4-BE49-F238E27FC236}">
                  <a16:creationId xmlns:a16="http://schemas.microsoft.com/office/drawing/2014/main" id="{98A3E49B-3358-4CFA-8DC2-4259882617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98A3E49B-3358-4CFA-8DC2-425988261753}"/>
                        </a:ext>
                      </a:extLst>
                    </pic:cNvPr>
                    <pic:cNvPicPr>
                      <a:picLocks noChangeAspect="1"/>
                    </pic:cNvPicPr>
                  </pic:nvPicPr>
                  <pic:blipFill>
                    <a:blip r:embed="rId9"/>
                    <a:stretch>
                      <a:fillRect/>
                    </a:stretch>
                  </pic:blipFill>
                  <pic:spPr>
                    <a:xfrm>
                      <a:off x="0" y="0"/>
                      <a:ext cx="3165475" cy="2262505"/>
                    </a:xfrm>
                    <a:prstGeom prst="rect">
                      <a:avLst/>
                    </a:prstGeom>
                  </pic:spPr>
                </pic:pic>
              </a:graphicData>
            </a:graphic>
          </wp:inline>
        </w:drawing>
      </w:r>
    </w:p>
    <w:p w14:paraId="2A7278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CB51325" w14:textId="1DFA86F4" w:rsidR="0035055D" w:rsidRPr="0035055D" w:rsidRDefault="0035055D" w:rsidP="0035055D">
      <w:pPr>
        <w:pStyle w:val="Paragrafoelenco"/>
        <w:numPr>
          <w:ilvl w:val="0"/>
          <w:numId w:val="3"/>
        </w:numPr>
        <w:tabs>
          <w:tab w:val="left" w:pos="384"/>
        </w:tabs>
        <w:spacing w:line="216" w:lineRule="exact"/>
        <w:ind w:right="138"/>
        <w:rPr>
          <w:sz w:val="18"/>
        </w:rPr>
      </w:pPr>
      <w:r w:rsidRPr="0035055D">
        <w:rPr>
          <w:sz w:val="18"/>
        </w:rPr>
        <w:t xml:space="preserve">Goodnough LT, </w:t>
      </w:r>
      <w:proofErr w:type="spellStart"/>
      <w:r w:rsidRPr="0035055D">
        <w:rPr>
          <w:sz w:val="18"/>
        </w:rPr>
        <w:t>Shander</w:t>
      </w:r>
      <w:proofErr w:type="spellEnd"/>
      <w:r w:rsidRPr="0035055D">
        <w:rPr>
          <w:sz w:val="18"/>
        </w:rPr>
        <w:t xml:space="preserve"> A (2013) Current status of pharmacologic therapies in patient blood management. </w:t>
      </w:r>
      <w:proofErr w:type="spellStart"/>
      <w:r w:rsidRPr="0035055D">
        <w:rPr>
          <w:sz w:val="18"/>
        </w:rPr>
        <w:t>Anesth</w:t>
      </w:r>
      <w:proofErr w:type="spellEnd"/>
      <w:r w:rsidRPr="0035055D">
        <w:rPr>
          <w:sz w:val="18"/>
        </w:rPr>
        <w:t xml:space="preserve"> </w:t>
      </w:r>
      <w:proofErr w:type="spellStart"/>
      <w:r w:rsidRPr="0035055D">
        <w:rPr>
          <w:sz w:val="18"/>
        </w:rPr>
        <w:t>Analg</w:t>
      </w:r>
      <w:proofErr w:type="spellEnd"/>
      <w:r w:rsidRPr="0035055D">
        <w:rPr>
          <w:sz w:val="18"/>
        </w:rPr>
        <w:t xml:space="preserve">. 116(1):15-34. </w:t>
      </w:r>
    </w:p>
    <w:p w14:paraId="1D6F8E76" w14:textId="6C85E092" w:rsidR="0035055D" w:rsidRDefault="0035055D" w:rsidP="0035055D">
      <w:pPr>
        <w:pStyle w:val="Paragrafoelenco"/>
        <w:numPr>
          <w:ilvl w:val="0"/>
          <w:numId w:val="3"/>
        </w:numPr>
        <w:tabs>
          <w:tab w:val="left" w:pos="384"/>
        </w:tabs>
        <w:spacing w:line="216" w:lineRule="exact"/>
        <w:ind w:right="138"/>
        <w:rPr>
          <w:sz w:val="18"/>
        </w:rPr>
      </w:pPr>
      <w:r w:rsidRPr="0035055D">
        <w:rPr>
          <w:sz w:val="18"/>
        </w:rPr>
        <w:t xml:space="preserve">Muñoz M, Gómez-Ramírez S, </w:t>
      </w:r>
      <w:proofErr w:type="spellStart"/>
      <w:r w:rsidRPr="0035055D">
        <w:rPr>
          <w:sz w:val="18"/>
        </w:rPr>
        <w:t>Kozek-Langeneker</w:t>
      </w:r>
      <w:proofErr w:type="spellEnd"/>
      <w:r w:rsidRPr="0035055D">
        <w:rPr>
          <w:sz w:val="18"/>
        </w:rPr>
        <w:t xml:space="preserve"> S, </w:t>
      </w:r>
      <w:proofErr w:type="spellStart"/>
      <w:r w:rsidRPr="0035055D">
        <w:rPr>
          <w:sz w:val="18"/>
        </w:rPr>
        <w:t>Shander</w:t>
      </w:r>
      <w:proofErr w:type="spellEnd"/>
      <w:r w:rsidRPr="0035055D">
        <w:rPr>
          <w:sz w:val="18"/>
        </w:rPr>
        <w:t xml:space="preserve"> A, Richards T, </w:t>
      </w:r>
      <w:proofErr w:type="spellStart"/>
      <w:r w:rsidRPr="0035055D">
        <w:rPr>
          <w:sz w:val="18"/>
        </w:rPr>
        <w:t>Pavía</w:t>
      </w:r>
      <w:proofErr w:type="spellEnd"/>
      <w:r w:rsidRPr="0035055D">
        <w:rPr>
          <w:sz w:val="18"/>
        </w:rPr>
        <w:t xml:space="preserve"> J, </w:t>
      </w:r>
      <w:proofErr w:type="spellStart"/>
      <w:r w:rsidRPr="0035055D">
        <w:rPr>
          <w:sz w:val="18"/>
        </w:rPr>
        <w:t>Kehlet</w:t>
      </w:r>
      <w:proofErr w:type="spellEnd"/>
      <w:r w:rsidRPr="0035055D">
        <w:rPr>
          <w:sz w:val="18"/>
        </w:rPr>
        <w:t xml:space="preserve"> H, Acheson AG, Evans C, </w:t>
      </w:r>
      <w:proofErr w:type="spellStart"/>
      <w:r w:rsidRPr="0035055D">
        <w:rPr>
          <w:sz w:val="18"/>
        </w:rPr>
        <w:t>Raobaikady</w:t>
      </w:r>
      <w:proofErr w:type="spellEnd"/>
      <w:r w:rsidRPr="0035055D">
        <w:rPr>
          <w:sz w:val="18"/>
        </w:rPr>
        <w:t xml:space="preserve"> R, </w:t>
      </w:r>
      <w:proofErr w:type="spellStart"/>
      <w:r w:rsidRPr="0035055D">
        <w:rPr>
          <w:sz w:val="18"/>
        </w:rPr>
        <w:t>Javidroozi</w:t>
      </w:r>
      <w:proofErr w:type="spellEnd"/>
      <w:r w:rsidRPr="0035055D">
        <w:rPr>
          <w:sz w:val="18"/>
        </w:rPr>
        <w:t xml:space="preserve"> M, Auerbach M (2015) 'Fit to fly': overcoming barriers to preoperative </w:t>
      </w:r>
      <w:proofErr w:type="spellStart"/>
      <w:r w:rsidRPr="0035055D">
        <w:rPr>
          <w:sz w:val="18"/>
        </w:rPr>
        <w:t>haemoglobin</w:t>
      </w:r>
      <w:proofErr w:type="spellEnd"/>
      <w:r w:rsidRPr="0035055D">
        <w:rPr>
          <w:sz w:val="18"/>
        </w:rPr>
        <w:t xml:space="preserve"> optimization in surgical patients. Br J </w:t>
      </w:r>
      <w:proofErr w:type="spellStart"/>
      <w:r w:rsidRPr="0035055D">
        <w:rPr>
          <w:sz w:val="18"/>
        </w:rPr>
        <w:t>Anaesth</w:t>
      </w:r>
      <w:proofErr w:type="spellEnd"/>
      <w:r w:rsidRPr="0035055D">
        <w:rPr>
          <w:sz w:val="18"/>
        </w:rPr>
        <w:t>. 115(1):15-24.</w:t>
      </w:r>
    </w:p>
    <w:p w14:paraId="26E515A1" w14:textId="77777777" w:rsidR="00751B44" w:rsidRPr="00751B44" w:rsidRDefault="00751B44" w:rsidP="000A274B">
      <w:pPr>
        <w:pStyle w:val="Paragrafoelenco"/>
        <w:numPr>
          <w:ilvl w:val="0"/>
          <w:numId w:val="3"/>
        </w:numPr>
        <w:ind w:right="138"/>
      </w:pPr>
      <w:r w:rsidRPr="00751B44">
        <w:rPr>
          <w:sz w:val="18"/>
        </w:rPr>
        <w:t>Minhas, S. V., Chow, I., Bosco, J., &amp; Otsuka, N. Y. (2015). Assessing the Rates, Predictors, and Complications of Blood Transfusion Volume in Posterior Arthrodesis for Adolescent Idiopathic Scoliosis. Spine (Phila Pa 1976), 40(18), 1422-1430.</w:t>
      </w:r>
    </w:p>
    <w:p w14:paraId="61F97FEF" w14:textId="77777777" w:rsidR="008E58BE" w:rsidRPr="008E58BE" w:rsidRDefault="00751B44" w:rsidP="000A274B">
      <w:pPr>
        <w:pStyle w:val="Paragrafoelenco"/>
        <w:numPr>
          <w:ilvl w:val="0"/>
          <w:numId w:val="3"/>
        </w:numPr>
        <w:ind w:right="138"/>
      </w:pPr>
      <w:proofErr w:type="spellStart"/>
      <w:r w:rsidRPr="00751B44">
        <w:rPr>
          <w:sz w:val="18"/>
        </w:rPr>
        <w:t>Elgafy</w:t>
      </w:r>
      <w:proofErr w:type="spellEnd"/>
      <w:r w:rsidRPr="00751B44">
        <w:rPr>
          <w:sz w:val="18"/>
        </w:rPr>
        <w:t xml:space="preserve">, H., Bransford, R. J., McGuire, R. A., </w:t>
      </w:r>
      <w:proofErr w:type="spellStart"/>
      <w:r w:rsidRPr="00751B44">
        <w:rPr>
          <w:sz w:val="18"/>
        </w:rPr>
        <w:t>Dettori</w:t>
      </w:r>
      <w:proofErr w:type="spellEnd"/>
      <w:r w:rsidRPr="00751B44">
        <w:rPr>
          <w:sz w:val="18"/>
        </w:rPr>
        <w:t>, J. R., &amp; Fischer, D. (2010). Blood loss in major spine surgery: are there effective measures to decrease massive hemorrhage in major spine fusion surgery? Spine (Phila Pa 1976), 35(9 Suppl), S47-56.</w:t>
      </w:r>
    </w:p>
    <w:p w14:paraId="26DEF3C2" w14:textId="6F9F28DA" w:rsidR="00AE3E37" w:rsidRPr="00751B44" w:rsidRDefault="008E58BE" w:rsidP="000A274B">
      <w:pPr>
        <w:pStyle w:val="Paragrafoelenco"/>
        <w:numPr>
          <w:ilvl w:val="0"/>
          <w:numId w:val="3"/>
        </w:numPr>
        <w:ind w:right="138"/>
      </w:pPr>
      <w:r w:rsidRPr="008E58BE">
        <w:rPr>
          <w:sz w:val="18"/>
        </w:rPr>
        <w:t>Torres-</w:t>
      </w:r>
      <w:proofErr w:type="spellStart"/>
      <w:r w:rsidRPr="008E58BE">
        <w:rPr>
          <w:sz w:val="18"/>
        </w:rPr>
        <w:t>Claramunt</w:t>
      </w:r>
      <w:proofErr w:type="spellEnd"/>
      <w:r w:rsidRPr="008E58BE">
        <w:rPr>
          <w:sz w:val="18"/>
        </w:rPr>
        <w:t>, R., Ramirez, M., Lopez-</w:t>
      </w:r>
      <w:proofErr w:type="spellStart"/>
      <w:r w:rsidRPr="008E58BE">
        <w:rPr>
          <w:sz w:val="18"/>
        </w:rPr>
        <w:t>Soques</w:t>
      </w:r>
      <w:proofErr w:type="spellEnd"/>
      <w:r w:rsidRPr="008E58BE">
        <w:rPr>
          <w:sz w:val="18"/>
        </w:rPr>
        <w:t xml:space="preserve">, M., </w:t>
      </w:r>
      <w:proofErr w:type="spellStart"/>
      <w:r w:rsidRPr="008E58BE">
        <w:rPr>
          <w:sz w:val="18"/>
        </w:rPr>
        <w:t>Salo</w:t>
      </w:r>
      <w:proofErr w:type="spellEnd"/>
      <w:r w:rsidRPr="008E58BE">
        <w:rPr>
          <w:sz w:val="18"/>
        </w:rPr>
        <w:t xml:space="preserve">, G., Molina-Ros, A., </w:t>
      </w:r>
      <w:proofErr w:type="spellStart"/>
      <w:r w:rsidRPr="008E58BE">
        <w:rPr>
          <w:sz w:val="18"/>
        </w:rPr>
        <w:t>Llado</w:t>
      </w:r>
      <w:proofErr w:type="spellEnd"/>
      <w:r w:rsidRPr="008E58BE">
        <w:rPr>
          <w:sz w:val="18"/>
        </w:rPr>
        <w:t xml:space="preserve">, A., &amp; Caceres, E. (2012). Predictors of blood transfusion in patients undergoing elective surgery for degenerative conditions of the spine. Arch </w:t>
      </w:r>
      <w:proofErr w:type="spellStart"/>
      <w:r w:rsidRPr="008E58BE">
        <w:rPr>
          <w:sz w:val="18"/>
        </w:rPr>
        <w:t>Orthop</w:t>
      </w:r>
      <w:proofErr w:type="spellEnd"/>
      <w:r w:rsidRPr="008E58BE">
        <w:rPr>
          <w:sz w:val="18"/>
        </w:rPr>
        <w:t xml:space="preserve"> Trauma Surg, 132(10), 1393-1398.</w:t>
      </w:r>
      <w:r w:rsidR="00751B44" w:rsidRPr="00751B44">
        <w:rPr>
          <w:sz w:val="18"/>
        </w:rPr>
        <w:t xml:space="preserve">  </w:t>
      </w:r>
    </w:p>
    <w:p w14:paraId="5EBC827F" w14:textId="1F0BE863" w:rsidR="0035055D" w:rsidRDefault="0035055D">
      <w:pPr>
        <w:spacing w:line="200" w:lineRule="exact"/>
        <w:jc w:val="both"/>
        <w:rPr>
          <w:rFonts w:ascii="Calibri" w:hAnsi="Calibri"/>
        </w:rPr>
        <w:sectPr w:rsidR="0035055D">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Corpotesto"/>
        <w:rPr>
          <w:rFonts w:ascii="Calibri"/>
          <w:sz w:val="20"/>
        </w:rPr>
      </w:pPr>
    </w:p>
    <w:p w14:paraId="3DE9AED4" w14:textId="77777777" w:rsidR="00AE3E37" w:rsidRDefault="00292ED9">
      <w:pPr>
        <w:pStyle w:val="Corpotesto"/>
        <w:spacing w:line="40" w:lineRule="exact"/>
        <w:ind w:left="2202"/>
        <w:rPr>
          <w:rFonts w:ascii="Calibri"/>
          <w:sz w:val="4"/>
        </w:rPr>
      </w:pPr>
      <w:r>
        <w:rPr>
          <w:rFonts w:ascii="Calibri"/>
          <w:noProof/>
          <w:sz w:val="4"/>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39DBE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E4CCD7" w14:textId="77777777" w:rsidR="00A126D8" w:rsidRDefault="00A126D8" w:rsidP="00A126D8">
      <w:pPr>
        <w:spacing w:before="92"/>
        <w:ind w:right="4234"/>
        <w:jc w:val="center"/>
        <w:rPr>
          <w:noProof/>
        </w:rPr>
      </w:pPr>
      <w:r>
        <w:rPr>
          <w:noProof/>
        </w:rPr>
        <w:drawing>
          <wp:anchor distT="0" distB="0" distL="114300" distR="114300" simplePos="0" relativeHeight="251659264" behindDoc="0" locked="0" layoutInCell="1" allowOverlap="1" wp14:anchorId="47603E1B" wp14:editId="30F18AD6">
            <wp:simplePos x="0" y="0"/>
            <wp:positionH relativeFrom="column">
              <wp:posOffset>2713355</wp:posOffset>
            </wp:positionH>
            <wp:positionV relativeFrom="paragraph">
              <wp:posOffset>65405</wp:posOffset>
            </wp:positionV>
            <wp:extent cx="694690" cy="972820"/>
            <wp:effectExtent l="0" t="0" r="0" b="0"/>
            <wp:wrapThrough wrapText="bothSides">
              <wp:wrapPolygon edited="0">
                <wp:start x="0" y="0"/>
                <wp:lineTo x="0" y="21149"/>
                <wp:lineTo x="20731" y="21149"/>
                <wp:lineTo x="2073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94690" cy="972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932089" w14:textId="77777777" w:rsidR="00A126D8" w:rsidRDefault="00A126D8" w:rsidP="00A126D8">
      <w:pPr>
        <w:spacing w:before="92"/>
        <w:ind w:right="4234"/>
        <w:rPr>
          <w:rFonts w:ascii="Arial"/>
          <w:color w:val="BF5A14"/>
        </w:rPr>
      </w:pPr>
    </w:p>
    <w:p w14:paraId="0353E5BD" w14:textId="77777777" w:rsidR="00A126D8" w:rsidRDefault="00A126D8" w:rsidP="00A126D8">
      <w:pPr>
        <w:spacing w:before="92"/>
        <w:ind w:right="4234"/>
        <w:rPr>
          <w:rFonts w:ascii="Arial"/>
          <w:color w:val="BF5A14"/>
        </w:rPr>
      </w:pPr>
    </w:p>
    <w:p w14:paraId="44A13F74" w14:textId="77777777" w:rsidR="00A126D8" w:rsidRDefault="00A126D8" w:rsidP="00A126D8">
      <w:pPr>
        <w:spacing w:before="92"/>
        <w:ind w:right="4234"/>
        <w:rPr>
          <w:rFonts w:ascii="Arial"/>
          <w:color w:val="BF5A14"/>
        </w:rPr>
      </w:pPr>
    </w:p>
    <w:p w14:paraId="790C1D08" w14:textId="77777777" w:rsidR="00A126D8" w:rsidRPr="00A126D8" w:rsidRDefault="00A126D8" w:rsidP="00A126D8">
      <w:pPr>
        <w:spacing w:before="92"/>
        <w:ind w:right="4234" w:firstLine="4253"/>
        <w:rPr>
          <w:rFonts w:ascii="Arial"/>
          <w:b/>
          <w:color w:val="000000" w:themeColor="text1"/>
          <w:sz w:val="20"/>
          <w:szCs w:val="20"/>
        </w:rPr>
      </w:pPr>
      <w:r w:rsidRPr="00A126D8">
        <w:rPr>
          <w:rFonts w:ascii="Arial"/>
          <w:b/>
          <w:color w:val="000000" w:themeColor="text1"/>
          <w:sz w:val="20"/>
          <w:szCs w:val="20"/>
        </w:rPr>
        <w:t>Photograph</w:t>
      </w:r>
    </w:p>
    <w:p w14:paraId="60C2AF38"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27C8E62A" w14:textId="76AFBA19" w:rsidR="00AE3E37" w:rsidRDefault="008E58BE">
      <w:pPr>
        <w:spacing w:before="41" w:line="154" w:lineRule="exact"/>
        <w:ind w:left="213" w:right="231"/>
        <w:jc w:val="both"/>
        <w:rPr>
          <w:rFonts w:ascii="Arial"/>
          <w:sz w:val="14"/>
        </w:rPr>
      </w:pPr>
      <w:r>
        <w:rPr>
          <w:rFonts w:ascii="Arial"/>
          <w:sz w:val="14"/>
        </w:rPr>
        <w:t>Dr. Giannone is an attending anesthesiologist and researcher at Rizzoli Orthopedic Institute, Bologna. Her practice focuses mainly on Patient Blood Management and application of principles of Evidence Based Medicine in anesthesia and transfusion practice in orthopedic surgery.</w:t>
      </w:r>
    </w:p>
    <w:p w14:paraId="4D9BF9CE" w14:textId="1028030E" w:rsidR="00AE3E37" w:rsidRPr="0061609A" w:rsidRDefault="00A9710C" w:rsidP="0061609A">
      <w:pPr>
        <w:spacing w:before="62"/>
        <w:ind w:left="4217" w:right="4235"/>
        <w:jc w:val="center"/>
        <w:rPr>
          <w:rFonts w:ascii="Arial"/>
          <w:sz w:val="14"/>
        </w:rPr>
        <w:sectPr w:rsidR="00AE3E37" w:rsidRPr="0061609A">
          <w:type w:val="continuous"/>
          <w:pgSz w:w="11910" w:h="16840"/>
          <w:pgMar w:top="1740" w:right="600" w:bottom="840" w:left="620" w:header="720" w:footer="720" w:gutter="0"/>
          <w:cols w:space="720"/>
        </w:sectPr>
      </w:pPr>
      <w:r>
        <w:rPr>
          <w:rFonts w:ascii="Arial"/>
          <w:sz w:val="14"/>
        </w:rPr>
        <w:t>Email:</w:t>
      </w:r>
      <w:r w:rsidR="008E58BE" w:rsidRPr="008E58BE">
        <w:rPr>
          <w:rFonts w:ascii="Arial"/>
          <w:sz w:val="14"/>
        </w:rPr>
        <w:t>sandra.giannone@gmail.co</w:t>
      </w:r>
      <w:r w:rsidR="00292ED9">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F1E4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0061609A">
        <w:rPr>
          <w:rFonts w:ascii="Arial"/>
          <w:sz w:val="14"/>
        </w:rPr>
        <w:t>m</w:t>
      </w:r>
    </w:p>
    <w:p w14:paraId="73CB3251" w14:textId="15E02D68" w:rsidR="00AE3E37" w:rsidRDefault="00AE3E37" w:rsidP="0061609A">
      <w:pPr>
        <w:pStyle w:val="EndNoteBibliography"/>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77B6CD" w14:textId="77777777" w:rsidR="00E80039" w:rsidRDefault="00E80039">
      <w:r>
        <w:separator/>
      </w:r>
    </w:p>
  </w:endnote>
  <w:endnote w:type="continuationSeparator" w:id="0">
    <w:p w14:paraId="2622BCAB" w14:textId="77777777" w:rsidR="00E80039" w:rsidRDefault="00E80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C0F15" w14:textId="77777777" w:rsidR="00AE3E37" w:rsidRDefault="00292ED9">
    <w:pPr>
      <w:pStyle w:val="Corpotesto"/>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8C35A" w14:textId="77777777" w:rsidR="00E80039" w:rsidRDefault="00E80039">
      <w:r>
        <w:separator/>
      </w:r>
    </w:p>
  </w:footnote>
  <w:footnote w:type="continuationSeparator" w:id="0">
    <w:p w14:paraId="00D73F56" w14:textId="77777777" w:rsidR="00E80039" w:rsidRDefault="00E80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871DBC" w14:textId="40148EE6" w:rsidR="00AE3E37" w:rsidRDefault="00B75E0E">
    <w:pPr>
      <w:pStyle w:val="Corpotesto"/>
      <w:spacing w:line="14" w:lineRule="auto"/>
      <w:rPr>
        <w:sz w:val="20"/>
      </w:rPr>
    </w:pPr>
    <w:r>
      <w:rPr>
        <w:noProof/>
        <w:sz w:val="20"/>
      </w:rPr>
      <w:drawing>
        <wp:anchor distT="0" distB="0" distL="114300" distR="114300" simplePos="0" relativeHeight="503313000" behindDoc="0" locked="0" layoutInCell="1" allowOverlap="1" wp14:anchorId="415EB6FC" wp14:editId="25815D52">
          <wp:simplePos x="0" y="0"/>
          <wp:positionH relativeFrom="margin">
            <wp:align>center</wp:align>
          </wp:positionH>
          <wp:positionV relativeFrom="paragraph">
            <wp:posOffset>-133985</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AE3E37"/>
    <w:rsid w:val="000579E6"/>
    <w:rsid w:val="00082E46"/>
    <w:rsid w:val="000E2911"/>
    <w:rsid w:val="00125E6E"/>
    <w:rsid w:val="001263DF"/>
    <w:rsid w:val="001D105D"/>
    <w:rsid w:val="001E763C"/>
    <w:rsid w:val="00206ED5"/>
    <w:rsid w:val="00255F0C"/>
    <w:rsid w:val="00292ED9"/>
    <w:rsid w:val="002A43AB"/>
    <w:rsid w:val="002C680A"/>
    <w:rsid w:val="002F7E74"/>
    <w:rsid w:val="00314AFB"/>
    <w:rsid w:val="00323AA3"/>
    <w:rsid w:val="0035055D"/>
    <w:rsid w:val="003B76D9"/>
    <w:rsid w:val="00404E5B"/>
    <w:rsid w:val="00414F7B"/>
    <w:rsid w:val="004355DC"/>
    <w:rsid w:val="004749B4"/>
    <w:rsid w:val="00494130"/>
    <w:rsid w:val="004F3523"/>
    <w:rsid w:val="005526D6"/>
    <w:rsid w:val="00593E8C"/>
    <w:rsid w:val="005973B9"/>
    <w:rsid w:val="005B3A56"/>
    <w:rsid w:val="006060CE"/>
    <w:rsid w:val="0061609A"/>
    <w:rsid w:val="0063497F"/>
    <w:rsid w:val="00692DFB"/>
    <w:rsid w:val="006B4207"/>
    <w:rsid w:val="00702F3A"/>
    <w:rsid w:val="00733CCC"/>
    <w:rsid w:val="00751B44"/>
    <w:rsid w:val="0078738A"/>
    <w:rsid w:val="00873DF0"/>
    <w:rsid w:val="008756E6"/>
    <w:rsid w:val="008E58BE"/>
    <w:rsid w:val="00903D0A"/>
    <w:rsid w:val="009B2D44"/>
    <w:rsid w:val="009C1181"/>
    <w:rsid w:val="00A07E82"/>
    <w:rsid w:val="00A126D8"/>
    <w:rsid w:val="00A64D0E"/>
    <w:rsid w:val="00A9710C"/>
    <w:rsid w:val="00AE1F2A"/>
    <w:rsid w:val="00AE3E37"/>
    <w:rsid w:val="00B21A57"/>
    <w:rsid w:val="00B31823"/>
    <w:rsid w:val="00B47616"/>
    <w:rsid w:val="00B75E0E"/>
    <w:rsid w:val="00B90667"/>
    <w:rsid w:val="00C211C1"/>
    <w:rsid w:val="00C33602"/>
    <w:rsid w:val="00CA4143"/>
    <w:rsid w:val="00CD6F55"/>
    <w:rsid w:val="00CE719F"/>
    <w:rsid w:val="00D604EE"/>
    <w:rsid w:val="00D62425"/>
    <w:rsid w:val="00DE3104"/>
    <w:rsid w:val="00E308DC"/>
    <w:rsid w:val="00E80039"/>
    <w:rsid w:val="00EB1F92"/>
    <w:rsid w:val="00ED4E1F"/>
    <w:rsid w:val="00F47752"/>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88C67"/>
  <w15:docId w15:val="{C811487F-D4DA-40EA-80E3-948F64A5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EndNoteBibliographyTitle">
    <w:name w:val="EndNote Bibliography Title"/>
    <w:basedOn w:val="Normale"/>
    <w:link w:val="EndNoteBibliographyTitleCarattere"/>
    <w:rsid w:val="00751B44"/>
    <w:pPr>
      <w:jc w:val="center"/>
    </w:pPr>
    <w:rPr>
      <w:noProof/>
      <w:sz w:val="18"/>
    </w:rPr>
  </w:style>
  <w:style w:type="character" w:customStyle="1" w:styleId="EndNoteBibliographyTitleCarattere">
    <w:name w:val="EndNote Bibliography Title Carattere"/>
    <w:basedOn w:val="CorpotestoCarattere"/>
    <w:link w:val="EndNoteBibliographyTitle"/>
    <w:rsid w:val="00751B44"/>
    <w:rPr>
      <w:rFonts w:ascii="Tw Cen MT" w:eastAsia="Tw Cen MT" w:hAnsi="Tw Cen MT" w:cs="Tw Cen MT"/>
      <w:noProof/>
      <w:sz w:val="18"/>
      <w:szCs w:val="18"/>
    </w:rPr>
  </w:style>
  <w:style w:type="paragraph" w:customStyle="1" w:styleId="EndNoteBibliography">
    <w:name w:val="EndNote Bibliography"/>
    <w:basedOn w:val="Normale"/>
    <w:link w:val="EndNoteBibliographyCarattere"/>
    <w:rsid w:val="00751B44"/>
    <w:rPr>
      <w:noProof/>
      <w:sz w:val="18"/>
    </w:rPr>
  </w:style>
  <w:style w:type="character" w:customStyle="1" w:styleId="EndNoteBibliographyCarattere">
    <w:name w:val="EndNote Bibliography Carattere"/>
    <w:basedOn w:val="CorpotestoCarattere"/>
    <w:link w:val="EndNoteBibliography"/>
    <w:rsid w:val="00751B44"/>
    <w:rPr>
      <w:rFonts w:ascii="Tw Cen MT" w:eastAsia="Tw Cen MT" w:hAnsi="Tw Cen MT" w:cs="Tw Cen MT"/>
      <w:noProof/>
      <w:sz w:val="18"/>
      <w:szCs w:val="18"/>
    </w:rPr>
  </w:style>
  <w:style w:type="character" w:styleId="Menzionenonrisolta">
    <w:name w:val="Unresolved Mention"/>
    <w:basedOn w:val="Carpredefinitoparagrafo"/>
    <w:uiPriority w:val="99"/>
    <w:semiHidden/>
    <w:unhideWhenUsed/>
    <w:rsid w:val="00751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598458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1251</TotalTime>
  <Pages>2</Pages>
  <Words>832</Words>
  <Characters>4744</Characters>
  <Application>Microsoft Office Word</Application>
  <DocSecurity>0</DocSecurity>
  <Lines>39</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sandra giannone</cp:lastModifiedBy>
  <cp:revision>3</cp:revision>
  <dcterms:created xsi:type="dcterms:W3CDTF">2020-04-25T19:08:00Z</dcterms:created>
  <dcterms:modified xsi:type="dcterms:W3CDTF">2020-04-26T15:59:00Z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