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5274B" w14:textId="77777777" w:rsidR="00080C9A" w:rsidRPr="00EA52DF" w:rsidRDefault="00080C9A" w:rsidP="00080C9A">
      <w:pPr>
        <w:jc w:val="center"/>
        <w:rPr>
          <w:rFonts w:asciiTheme="minorHAnsi" w:hAnsiTheme="minorHAnsi" w:cstheme="minorHAnsi"/>
          <w:b/>
          <w:color w:val="ACB9CA" w:themeColor="text2" w:themeTint="66"/>
          <w:sz w:val="32"/>
          <w:lang w:val="en-IN"/>
        </w:rPr>
      </w:pPr>
      <w:r w:rsidRPr="00EA52DF">
        <w:rPr>
          <w:rFonts w:asciiTheme="minorHAnsi" w:hAnsiTheme="minorHAnsi" w:cstheme="minorHAnsi"/>
          <w:b/>
          <w:color w:val="ACB9CA" w:themeColor="text2" w:themeTint="66"/>
          <w:sz w:val="32"/>
          <w:lang w:val="en-IN"/>
        </w:rPr>
        <w:t xml:space="preserve">Thoracic Spinal Tuberculosis: </w:t>
      </w:r>
      <w:r w:rsidRPr="00EA52DF">
        <w:rPr>
          <w:rFonts w:asciiTheme="minorHAnsi" w:hAnsiTheme="minorHAnsi" w:cstheme="minorHAnsi"/>
          <w:b/>
          <w:color w:val="ACB9CA" w:themeColor="text2" w:themeTint="66"/>
          <w:sz w:val="32"/>
        </w:rPr>
        <w:t xml:space="preserve">Thoracotomy, </w:t>
      </w:r>
      <w:r w:rsidRPr="00EA52DF">
        <w:rPr>
          <w:rFonts w:asciiTheme="minorHAnsi" w:hAnsiTheme="minorHAnsi" w:cstheme="minorHAnsi"/>
          <w:b/>
          <w:color w:val="ACB9CA" w:themeColor="text2" w:themeTint="66"/>
          <w:sz w:val="32"/>
          <w:lang w:val="en-IN"/>
        </w:rPr>
        <w:t>Debridement &amp; Anterior Column Reconstruction with Autologous Rib Graft</w:t>
      </w:r>
      <w:r w:rsidRPr="00EA52DF">
        <w:rPr>
          <w:rFonts w:asciiTheme="minorHAnsi" w:hAnsiTheme="minorHAnsi" w:cstheme="minorHAnsi"/>
          <w:b/>
          <w:color w:val="ACB9CA" w:themeColor="text2" w:themeTint="66"/>
          <w:sz w:val="32"/>
        </w:rPr>
        <w:t xml:space="preserve"> without instrumentation</w:t>
      </w:r>
    </w:p>
    <w:p w14:paraId="7431562A" w14:textId="77777777" w:rsidR="00080C9A" w:rsidRPr="00EA52DF" w:rsidRDefault="00080C9A" w:rsidP="00080C9A">
      <w:pPr>
        <w:pStyle w:val="Heading1"/>
        <w:spacing w:before="170"/>
        <w:ind w:left="0"/>
        <w:rPr>
          <w:lang w:val="en-IN"/>
        </w:rPr>
      </w:pPr>
    </w:p>
    <w:p w14:paraId="23C37502" w14:textId="77777777" w:rsidR="00080C9A" w:rsidRPr="00EA52DF" w:rsidRDefault="00080C9A" w:rsidP="00080C9A">
      <w:pPr>
        <w:pStyle w:val="BodyText"/>
        <w:spacing w:before="73" w:line="198" w:lineRule="exact"/>
        <w:ind w:left="100" w:right="5987"/>
        <w:rPr>
          <w:rFonts w:ascii="Arial"/>
          <w:lang w:val="en-IN"/>
        </w:rPr>
      </w:pPr>
      <w:r w:rsidRPr="00EA52DF">
        <w:rPr>
          <w:rFonts w:ascii="Arial"/>
          <w:lang w:val="en-IN"/>
        </w:rPr>
        <w:t>Dr G Kakadiya, MS Ortho, Mumbai</w:t>
      </w:r>
      <w:r>
        <w:rPr>
          <w:rFonts w:ascii="Arial"/>
          <w:lang w:val="en-IN"/>
        </w:rPr>
        <w:t>, India</w:t>
      </w:r>
    </w:p>
    <w:p w14:paraId="1C6C88FF" w14:textId="77777777" w:rsidR="00080C9A" w:rsidRDefault="00080C9A" w:rsidP="00080C9A">
      <w:pPr>
        <w:pStyle w:val="BodyText"/>
        <w:spacing w:before="73" w:line="198" w:lineRule="exact"/>
        <w:ind w:left="100" w:right="5987"/>
        <w:rPr>
          <w:rFonts w:ascii="Arial"/>
        </w:rPr>
      </w:pPr>
      <w:r>
        <w:rPr>
          <w:rFonts w:ascii="Arial"/>
        </w:rPr>
        <w:t xml:space="preserve">Dr K Chaudhary, </w:t>
      </w:r>
      <w:r w:rsidRPr="00EA52DF">
        <w:rPr>
          <w:rFonts w:ascii="Arial"/>
          <w:lang w:val="en-IN"/>
        </w:rPr>
        <w:t>MS Ortho, Mumbai</w:t>
      </w:r>
      <w:r>
        <w:rPr>
          <w:rFonts w:ascii="Arial"/>
          <w:lang w:val="en-IN"/>
        </w:rPr>
        <w:t>, India</w:t>
      </w:r>
    </w:p>
    <w:p w14:paraId="0AD06C1E" w14:textId="77777777" w:rsidR="00080C9A" w:rsidRDefault="00080C9A" w:rsidP="00080C9A">
      <w:pPr>
        <w:rPr>
          <w:rFonts w:ascii="Arial"/>
          <w:sz w:val="21"/>
        </w:rPr>
        <w:sectPr w:rsidR="00080C9A" w:rsidSect="00080C9A">
          <w:headerReference w:type="default" r:id="rId5"/>
          <w:footerReference w:type="default" r:id="rId6"/>
          <w:pgSz w:w="11910" w:h="16840"/>
          <w:pgMar w:top="564" w:right="600" w:bottom="840" w:left="620" w:header="541" w:footer="642" w:gutter="0"/>
          <w:cols w:space="720"/>
        </w:sectPr>
      </w:pPr>
    </w:p>
    <w:p w14:paraId="78D06754" w14:textId="77777777" w:rsidR="00080C9A" w:rsidRDefault="00080C9A" w:rsidP="00080C9A">
      <w:pPr>
        <w:pStyle w:val="Heading3"/>
        <w:spacing w:before="147"/>
        <w:jc w:val="both"/>
      </w:pPr>
      <w:r>
        <w:rPr>
          <w:color w:val="BF5A14"/>
        </w:rPr>
        <w:t xml:space="preserve">Abstract </w:t>
      </w:r>
    </w:p>
    <w:p w14:paraId="6E18F6B3" w14:textId="77777777" w:rsidR="00080C9A" w:rsidRDefault="00080C9A" w:rsidP="00080C9A">
      <w:pPr>
        <w:pStyle w:val="Heading3"/>
        <w:spacing w:before="147"/>
        <w:jc w:val="both"/>
      </w:pPr>
      <w:r w:rsidRPr="00EA52DF">
        <w:rPr>
          <w:rFonts w:ascii="Tw Cen MT" w:eastAsia="Tw Cen MT" w:hAnsi="Tw Cen MT" w:cs="Tw Cen MT"/>
          <w:b w:val="0"/>
          <w:bCs w:val="0"/>
          <w:sz w:val="18"/>
          <w:szCs w:val="18"/>
        </w:rPr>
        <w:t>Vertebral defects are created after radical debridement for spinal tuberculosis, which often require anterior spinal column reconstruction with a strut graft. Autologous rib can be harvested through the same skin incision and can be exploited to reconstruct anterior column defect for thoracic tuberculosis. The purpose of this study was to assess the clinical efficacy of autogenous rib graft for anterior column reconstruction after thoracic spinal tuberculosis debridement.</w:t>
      </w:r>
    </w:p>
    <w:p w14:paraId="4EBD3487" w14:textId="77777777" w:rsidR="00080C9A" w:rsidRPr="00EA52DF" w:rsidRDefault="00080C9A" w:rsidP="00080C9A">
      <w:pPr>
        <w:pStyle w:val="Heading3"/>
        <w:spacing w:before="147"/>
        <w:jc w:val="both"/>
      </w:pPr>
      <w:r w:rsidRPr="00EA52DF">
        <w:rPr>
          <w:rFonts w:ascii="Tw Cen MT" w:eastAsia="Tw Cen MT" w:hAnsi="Tw Cen MT" w:cs="Tw Cen MT"/>
          <w:bCs w:val="0"/>
          <w:sz w:val="18"/>
          <w:szCs w:val="18"/>
        </w:rPr>
        <w:t>Methods</w:t>
      </w:r>
      <w:r>
        <w:rPr>
          <w:rFonts w:ascii="Tw Cen MT" w:eastAsia="Tw Cen MT" w:hAnsi="Tw Cen MT" w:cs="Tw Cen MT"/>
          <w:bCs w:val="0"/>
          <w:sz w:val="18"/>
          <w:szCs w:val="18"/>
        </w:rPr>
        <w:t xml:space="preserve">: </w:t>
      </w:r>
      <w:r w:rsidRPr="00EA52DF">
        <w:rPr>
          <w:rFonts w:ascii="Tw Cen MT" w:eastAsia="Tw Cen MT" w:hAnsi="Tw Cen MT" w:cs="Tw Cen MT"/>
          <w:b w:val="0"/>
          <w:bCs w:val="0"/>
          <w:sz w:val="18"/>
          <w:szCs w:val="18"/>
        </w:rPr>
        <w:t>36 patients with a confirmed diagnosis of thoracic spine tuberculosis (T4-T11) between June 2016 and December 2018 were analysed retrospectively. All patients underwent Thoracotomy, anterior radical debridement and immediate reconstruction using autologous rib without instrumentation followed by anti-tuberculosis treatment. Neurological impairment of 34 patients was assessed as grade B in 2 cases, grade C in 8 cases, and grade D in 24 cases according to Frankel classification. The pre- and post-operative ESR, CRP, VAS score, and kyphosis Cobb angle were evaluated. The fusion rate was analyzed based on CT three-dimensional reconstruction. The clinical and radiographic data analyzed retrospectively.</w:t>
      </w:r>
    </w:p>
    <w:p w14:paraId="4B94F07D" w14:textId="77777777" w:rsidR="00080C9A" w:rsidRDefault="00080C9A" w:rsidP="00080C9A">
      <w:pPr>
        <w:pStyle w:val="Heading3"/>
        <w:spacing w:before="74"/>
        <w:jc w:val="both"/>
        <w:rPr>
          <w:rFonts w:ascii="Tw Cen MT" w:eastAsia="Tw Cen MT" w:hAnsi="Tw Cen MT" w:cs="Tw Cen MT"/>
          <w:b w:val="0"/>
          <w:bCs w:val="0"/>
          <w:sz w:val="18"/>
          <w:szCs w:val="18"/>
        </w:rPr>
      </w:pPr>
      <w:r w:rsidRPr="00EA52DF">
        <w:rPr>
          <w:rFonts w:ascii="Tw Cen MT" w:eastAsia="Tw Cen MT" w:hAnsi="Tw Cen MT" w:cs="Tw Cen MT"/>
          <w:bCs w:val="0"/>
          <w:sz w:val="18"/>
          <w:szCs w:val="18"/>
        </w:rPr>
        <w:t>Results:</w:t>
      </w:r>
      <w:r w:rsidRPr="00EA52DF">
        <w:rPr>
          <w:rFonts w:ascii="Tw Cen MT" w:eastAsia="Tw Cen MT" w:hAnsi="Tw Cen MT" w:cs="Tw Cen MT"/>
          <w:b w:val="0"/>
          <w:bCs w:val="0"/>
          <w:sz w:val="18"/>
          <w:szCs w:val="18"/>
        </w:rPr>
        <w:t xml:space="preserve"> The patients were followed up 24-30 months. The mean operation time was 125 minutes, mean intraopeartive blood loss was 450 mL. The postoperative complications included intercostals neuralgia in 2 cases and pleural effusion in 1 case, who were all cured after symptomatic treatment. There was no graft displacement, absorption of rib support, tuberculosis recurrence, and kyphosis occurred in all patients. CT three-dimensional reconstruction showed that the fusion rate was 86.1 (31/36) at 6 months after operation and was 97.2% (35/36) at 12 months after operation. The ESR, CRP, VAS scores, and kyphosis Cobb angle at 3 months after operation and last follow-up were significantly improved when compared with preoperative values (P&lt;0.05), but there was no significant difference between at 3 months after operation and last follow-up (P&gt;0.05). Neurological deficits were all improved at last follow-up according to Frankel classification.</w:t>
      </w:r>
    </w:p>
    <w:p w14:paraId="2BDAD642" w14:textId="77777777" w:rsidR="00080C9A" w:rsidRDefault="00080C9A" w:rsidP="00080C9A">
      <w:pPr>
        <w:pStyle w:val="Heading3"/>
        <w:spacing w:before="74"/>
        <w:jc w:val="both"/>
        <w:rPr>
          <w:b w:val="0"/>
        </w:rPr>
      </w:pPr>
      <w:r w:rsidRPr="00EA52DF">
        <w:rPr>
          <w:rFonts w:ascii="Tw Cen MT" w:eastAsia="Tw Cen MT" w:hAnsi="Tw Cen MT" w:cs="Tw Cen MT"/>
          <w:bCs w:val="0"/>
          <w:sz w:val="18"/>
          <w:szCs w:val="18"/>
        </w:rPr>
        <w:t>Conclusion:</w:t>
      </w:r>
      <w:r w:rsidRPr="00EA52DF">
        <w:rPr>
          <w:rFonts w:ascii="Tw Cen MT" w:eastAsia="Tw Cen MT" w:hAnsi="Tw Cen MT" w:cs="Tw Cen MT"/>
          <w:b w:val="0"/>
          <w:bCs w:val="0"/>
          <w:sz w:val="18"/>
          <w:szCs w:val="18"/>
        </w:rPr>
        <w:t xml:space="preserve"> Thoracotomy, radical debridement and rib graft are safe and effective methods for thoracic tuberculosis. The autogenous rib graft could work effectively to provide immediate stabilization for reconstruction of anterior column defect created by single level radical debridement.</w:t>
      </w:r>
      <w:r>
        <w:rPr>
          <w:b w:val="0"/>
        </w:rPr>
        <w:br w:type="column"/>
      </w:r>
    </w:p>
    <w:p w14:paraId="055A7C92" w14:textId="77777777" w:rsidR="00080C9A" w:rsidRDefault="00080C9A" w:rsidP="00080C9A">
      <w:pPr>
        <w:pStyle w:val="Heading3"/>
        <w:spacing w:before="74"/>
        <w:jc w:val="both"/>
        <w:rPr>
          <w:color w:val="BF5A14"/>
        </w:rPr>
      </w:pPr>
      <w:r>
        <w:rPr>
          <w:color w:val="BF5A14"/>
        </w:rPr>
        <w:t>Image</w:t>
      </w:r>
    </w:p>
    <w:p w14:paraId="7B69914D" w14:textId="77777777" w:rsidR="00080C9A" w:rsidRPr="00EA52DF" w:rsidRDefault="00080C9A" w:rsidP="00080C9A">
      <w:pPr>
        <w:pStyle w:val="Heading3"/>
        <w:spacing w:before="74"/>
        <w:jc w:val="both"/>
        <w:rPr>
          <w:rFonts w:ascii="Tw Cen MT" w:eastAsia="Tw Cen MT" w:hAnsi="Tw Cen MT" w:cs="Tw Cen MT"/>
          <w:b w:val="0"/>
          <w:bCs w:val="0"/>
          <w:sz w:val="18"/>
          <w:szCs w:val="18"/>
        </w:rPr>
      </w:pPr>
      <w:r>
        <w:rPr>
          <w:rFonts w:ascii="Tw Cen MT" w:eastAsia="Tw Cen MT" w:hAnsi="Tw Cen MT" w:cs="Tw Cen MT"/>
          <w:b w:val="0"/>
          <w:bCs w:val="0"/>
          <w:noProof/>
          <w:sz w:val="18"/>
          <w:szCs w:val="18"/>
        </w:rPr>
        <w:drawing>
          <wp:inline distT="0" distB="0" distL="0" distR="0" wp14:anchorId="753AD0ED" wp14:editId="6C6E175F">
            <wp:extent cx="3500120" cy="2333683"/>
            <wp:effectExtent l="0" t="0" r="508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0-02-09 at 1.17.57 PM.png"/>
                    <pic:cNvPicPr/>
                  </pic:nvPicPr>
                  <pic:blipFill>
                    <a:blip r:embed="rId7">
                      <a:extLst>
                        <a:ext uri="{28A0092B-C50C-407E-A947-70E740481C1C}">
                          <a14:useLocalDpi xmlns:a14="http://schemas.microsoft.com/office/drawing/2010/main" val="0"/>
                        </a:ext>
                      </a:extLst>
                    </a:blip>
                    <a:stretch>
                      <a:fillRect/>
                    </a:stretch>
                  </pic:blipFill>
                  <pic:spPr>
                    <a:xfrm>
                      <a:off x="0" y="0"/>
                      <a:ext cx="3533096" cy="2355670"/>
                    </a:xfrm>
                    <a:prstGeom prst="rect">
                      <a:avLst/>
                    </a:prstGeom>
                  </pic:spPr>
                </pic:pic>
              </a:graphicData>
            </a:graphic>
          </wp:inline>
        </w:drawing>
      </w:r>
    </w:p>
    <w:p w14:paraId="1BF833E1" w14:textId="77777777" w:rsidR="00080C9A" w:rsidRDefault="00080C9A" w:rsidP="00080C9A">
      <w:pPr>
        <w:pStyle w:val="BodyText"/>
        <w:spacing w:before="2"/>
        <w:rPr>
          <w:rFonts w:ascii="Arial"/>
          <w:b/>
          <w:sz w:val="16"/>
        </w:rPr>
      </w:pPr>
    </w:p>
    <w:p w14:paraId="1BEB10CA" w14:textId="77777777" w:rsidR="00080C9A" w:rsidRDefault="00080C9A" w:rsidP="00080C9A">
      <w:pPr>
        <w:spacing w:line="204" w:lineRule="exact"/>
        <w:rPr>
          <w:rFonts w:ascii="Arial"/>
          <w:b/>
          <w:color w:val="BF5A14"/>
          <w:sz w:val="20"/>
        </w:rPr>
      </w:pPr>
      <w:r>
        <w:rPr>
          <w:rFonts w:ascii="Arial"/>
          <w:b/>
          <w:color w:val="BF5A14"/>
          <w:sz w:val="20"/>
        </w:rPr>
        <w:br/>
        <w:t>References</w:t>
      </w:r>
    </w:p>
    <w:p w14:paraId="23EFC4E4" w14:textId="77777777" w:rsidR="00080C9A" w:rsidRPr="00EA52DF" w:rsidRDefault="00080C9A" w:rsidP="00080C9A">
      <w:pPr>
        <w:pStyle w:val="NormalWeb"/>
        <w:numPr>
          <w:ilvl w:val="0"/>
          <w:numId w:val="1"/>
        </w:numPr>
        <w:rPr>
          <w:rFonts w:ascii="Tw Cen MT" w:hAnsi="Tw Cen MT"/>
        </w:rPr>
      </w:pPr>
      <w:r w:rsidRPr="00EA52DF">
        <w:rPr>
          <w:rFonts w:ascii="Tw Cen MT" w:hAnsi="Tw Cen MT"/>
          <w:sz w:val="16"/>
          <w:szCs w:val="16"/>
        </w:rPr>
        <w:t xml:space="preserve">Koptan W, Elmiligui Y, Elsharkawi M. Single stage anterior reconstruction using titanium mesh cages in neglected kyphotic tuberculous spondylodiscitis of the cervical spine. Eur Spine J, 2011, 20(2): 308-313. </w:t>
      </w:r>
    </w:p>
    <w:p w14:paraId="40611873" w14:textId="77777777" w:rsidR="00080C9A" w:rsidRPr="00EA52DF" w:rsidRDefault="00080C9A" w:rsidP="00080C9A">
      <w:pPr>
        <w:pStyle w:val="NormalWeb"/>
        <w:numPr>
          <w:ilvl w:val="0"/>
          <w:numId w:val="1"/>
        </w:numPr>
        <w:rPr>
          <w:rFonts w:ascii="Tw Cen MT" w:hAnsi="Tw Cen MT"/>
        </w:rPr>
      </w:pPr>
      <w:r w:rsidRPr="00EA52DF">
        <w:rPr>
          <w:rFonts w:ascii="Tw Cen MT" w:hAnsi="Tw Cen MT"/>
          <w:sz w:val="16"/>
          <w:szCs w:val="16"/>
        </w:rPr>
        <w:t xml:space="preserve">Kamat AS, Freeman BJ, Cain CM, </w:t>
      </w:r>
      <w:r w:rsidRPr="00EA52DF">
        <w:rPr>
          <w:rFonts w:ascii="Tw Cen MT" w:hAnsi="Tw Cen MT"/>
          <w:i/>
          <w:iCs/>
          <w:sz w:val="16"/>
          <w:szCs w:val="16"/>
        </w:rPr>
        <w:t>et al</w:t>
      </w:r>
      <w:r w:rsidRPr="00EA52DF">
        <w:rPr>
          <w:rFonts w:ascii="Tw Cen MT" w:hAnsi="Tw Cen MT"/>
          <w:sz w:val="16"/>
          <w:szCs w:val="16"/>
        </w:rPr>
        <w:t xml:space="preserve">. Laminated multi-segment rib graft in anterior column reconstruction. Eur Spine J, 2002, 11(5): 465-466. </w:t>
      </w:r>
    </w:p>
    <w:p w14:paraId="67F3C167" w14:textId="77777777" w:rsidR="00080C9A" w:rsidRPr="00EA52DF" w:rsidRDefault="00080C9A" w:rsidP="00080C9A">
      <w:pPr>
        <w:pStyle w:val="NormalWeb"/>
        <w:numPr>
          <w:ilvl w:val="0"/>
          <w:numId w:val="1"/>
        </w:numPr>
        <w:rPr>
          <w:rFonts w:ascii="Tw Cen MT" w:hAnsi="Tw Cen MT"/>
        </w:rPr>
      </w:pPr>
      <w:r w:rsidRPr="00EA52DF">
        <w:rPr>
          <w:rFonts w:ascii="Tw Cen MT" w:hAnsi="Tw Cen MT"/>
          <w:sz w:val="16"/>
          <w:szCs w:val="16"/>
        </w:rPr>
        <w:t xml:space="preserve">Zhang HQ, Guo CF, Xiao XG, </w:t>
      </w:r>
      <w:r w:rsidRPr="00EA52DF">
        <w:rPr>
          <w:rFonts w:ascii="Tw Cen MT" w:hAnsi="Tw Cen MT"/>
          <w:i/>
          <w:iCs/>
          <w:sz w:val="16"/>
          <w:szCs w:val="16"/>
        </w:rPr>
        <w:t>et al</w:t>
      </w:r>
      <w:r w:rsidRPr="00EA52DF">
        <w:rPr>
          <w:rFonts w:ascii="Tw Cen MT" w:hAnsi="Tw Cen MT"/>
          <w:sz w:val="16"/>
          <w:szCs w:val="16"/>
        </w:rPr>
        <w:t xml:space="preserve">. One-stage surgical management for multilevel tuberculous spondylitis of the upper thoracic region by anterior decompression, strut autografting, posterior instrumentation, and fusion. J Spinal Disord Tech, 2007, 20(4): 263-267. </w:t>
      </w:r>
    </w:p>
    <w:p w14:paraId="0D4F6D27" w14:textId="77777777" w:rsidR="00080C9A" w:rsidRPr="00EA52DF" w:rsidRDefault="00080C9A" w:rsidP="00080C9A">
      <w:pPr>
        <w:pStyle w:val="NormalWeb"/>
        <w:numPr>
          <w:ilvl w:val="0"/>
          <w:numId w:val="1"/>
        </w:numPr>
        <w:rPr>
          <w:rFonts w:ascii="Tw Cen MT" w:hAnsi="Tw Cen MT"/>
        </w:rPr>
      </w:pPr>
      <w:r w:rsidRPr="00EA52DF">
        <w:rPr>
          <w:rFonts w:ascii="Tw Cen MT" w:hAnsi="Tw Cen MT"/>
          <w:sz w:val="16"/>
          <w:szCs w:val="16"/>
        </w:rPr>
        <w:t>Cavus</w:t>
      </w:r>
      <w:r w:rsidRPr="00EA52DF">
        <w:rPr>
          <w:rFonts w:ascii="Arial" w:hAnsi="Arial" w:cs="Arial"/>
          <w:sz w:val="16"/>
          <w:szCs w:val="16"/>
        </w:rPr>
        <w:t>̧</w:t>
      </w:r>
      <w:r w:rsidRPr="00EA52DF">
        <w:rPr>
          <w:rFonts w:ascii="Tw Cen MT" w:hAnsi="Tw Cen MT"/>
          <w:sz w:val="16"/>
          <w:szCs w:val="16"/>
        </w:rPr>
        <w:t>og</w:t>
      </w:r>
      <w:r w:rsidRPr="00EA52DF">
        <w:rPr>
          <w:rFonts w:ascii="Arial" w:hAnsi="Arial" w:cs="Arial"/>
          <w:sz w:val="16"/>
          <w:szCs w:val="16"/>
        </w:rPr>
        <w:t>̆</w:t>
      </w:r>
      <w:r w:rsidRPr="00EA52DF">
        <w:rPr>
          <w:rFonts w:ascii="Tw Cen MT" w:hAnsi="Tw Cen MT"/>
          <w:sz w:val="16"/>
          <w:szCs w:val="16"/>
        </w:rPr>
        <w:t>lu H, Kaya RA, Tu</w:t>
      </w:r>
      <w:r w:rsidRPr="00EA52DF">
        <w:rPr>
          <w:rFonts w:ascii="Arial" w:hAnsi="Arial" w:cs="Arial"/>
          <w:sz w:val="16"/>
          <w:szCs w:val="16"/>
        </w:rPr>
        <w:t>̈</w:t>
      </w:r>
      <w:r w:rsidRPr="00EA52DF">
        <w:rPr>
          <w:rFonts w:ascii="Tw Cen MT" w:hAnsi="Tw Cen MT"/>
          <w:sz w:val="16"/>
          <w:szCs w:val="16"/>
        </w:rPr>
        <w:t>rkmenog</w:t>
      </w:r>
      <w:r w:rsidRPr="00EA52DF">
        <w:rPr>
          <w:rFonts w:ascii="Arial" w:hAnsi="Arial" w:cs="Arial"/>
          <w:sz w:val="16"/>
          <w:szCs w:val="16"/>
        </w:rPr>
        <w:t>̆</w:t>
      </w:r>
      <w:r w:rsidRPr="00EA52DF">
        <w:rPr>
          <w:rFonts w:ascii="Tw Cen MT" w:hAnsi="Tw Cen MT"/>
          <w:sz w:val="16"/>
          <w:szCs w:val="16"/>
        </w:rPr>
        <w:t xml:space="preserve">lu ON, </w:t>
      </w:r>
      <w:r w:rsidRPr="00EA52DF">
        <w:rPr>
          <w:rFonts w:ascii="Tw Cen MT" w:hAnsi="Tw Cen MT"/>
          <w:i/>
          <w:iCs/>
          <w:sz w:val="16"/>
          <w:szCs w:val="16"/>
        </w:rPr>
        <w:t>et al</w:t>
      </w:r>
      <w:r w:rsidRPr="00EA52DF">
        <w:rPr>
          <w:rFonts w:ascii="Tw Cen MT" w:hAnsi="Tw Cen MT"/>
          <w:sz w:val="16"/>
          <w:szCs w:val="16"/>
        </w:rPr>
        <w:t xml:space="preserve">. A long-term follow-up study of anterior tibial allografting and instrumentation in the management of thoracolumbar tuberculous spondylitis. J Neurosurg Spine, 2008, 8(1): 30-38. </w:t>
      </w:r>
    </w:p>
    <w:p w14:paraId="3B1B37C0" w14:textId="77777777" w:rsidR="00080C9A" w:rsidRDefault="00080C9A" w:rsidP="00080C9A">
      <w:pPr>
        <w:spacing w:line="204" w:lineRule="exact"/>
        <w:rPr>
          <w:rFonts w:ascii="Calibri" w:hAnsi="Calibri"/>
        </w:rPr>
      </w:pPr>
    </w:p>
    <w:p w14:paraId="1E369EA3" w14:textId="77777777" w:rsidR="00080C9A" w:rsidRPr="008756E6" w:rsidRDefault="00080C9A" w:rsidP="00080C9A">
      <w:pPr>
        <w:tabs>
          <w:tab w:val="left" w:pos="384"/>
        </w:tabs>
        <w:ind w:right="117"/>
      </w:pPr>
    </w:p>
    <w:p w14:paraId="30709D8C" w14:textId="77777777" w:rsidR="00080C9A" w:rsidRDefault="00080C9A" w:rsidP="00080C9A">
      <w:pPr>
        <w:spacing w:line="200" w:lineRule="exact"/>
        <w:jc w:val="both"/>
        <w:rPr>
          <w:rFonts w:ascii="Calibri" w:hAnsi="Calibri"/>
        </w:rPr>
        <w:sectPr w:rsidR="00080C9A">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B58BE87" w14:textId="77777777" w:rsidR="00080C9A" w:rsidRPr="00D62425" w:rsidRDefault="00080C9A" w:rsidP="00080C9A">
      <w:pPr>
        <w:pStyle w:val="BodyText"/>
        <w:rPr>
          <w:rFonts w:ascii="Calibri"/>
          <w:b/>
          <w:sz w:val="20"/>
        </w:rPr>
      </w:pPr>
      <w:r>
        <w:rPr>
          <w:rFonts w:ascii="Calibri"/>
          <w:sz w:val="20"/>
        </w:rPr>
        <w:t xml:space="preserve">                 </w:t>
      </w:r>
      <w:r w:rsidRPr="00D62425">
        <w:rPr>
          <w:rFonts w:ascii="Calibri"/>
          <w:b/>
          <w:sz w:val="20"/>
        </w:rPr>
        <w:t>Photograph</w:t>
      </w:r>
    </w:p>
    <w:p w14:paraId="46922380" w14:textId="77777777" w:rsidR="00080C9A" w:rsidRDefault="00080C9A" w:rsidP="00080C9A">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837A57" wp14:editId="0CF94BE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E040D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F68B30C" w14:textId="77777777" w:rsidR="00080C9A" w:rsidRDefault="00080C9A" w:rsidP="00080C9A">
      <w:pPr>
        <w:spacing w:before="92"/>
        <w:ind w:right="4234"/>
        <w:rPr>
          <w:rFonts w:ascii="Arial"/>
        </w:rPr>
      </w:pPr>
      <w:r>
        <w:rPr>
          <w:noProof/>
        </w:rPr>
        <w:t xml:space="preserve">        </w:t>
      </w:r>
      <w:r>
        <w:rPr>
          <w:rFonts w:ascii="Arial"/>
          <w:noProof/>
          <w:color w:val="BF5A14"/>
        </w:rPr>
        <w:drawing>
          <wp:inline distT="0" distB="0" distL="0" distR="0" wp14:anchorId="52E2814A" wp14:editId="5686C494">
            <wp:extent cx="525366" cy="6133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7309" cy="627330"/>
                    </a:xfrm>
                    <a:prstGeom prst="rect">
                      <a:avLst/>
                    </a:prstGeom>
                  </pic:spPr>
                </pic:pic>
              </a:graphicData>
            </a:graphic>
          </wp:inline>
        </w:drawing>
      </w:r>
      <w:r>
        <w:rPr>
          <w:noProof/>
        </w:rPr>
        <w:t xml:space="preserve">      </w:t>
      </w:r>
      <w:r>
        <w:rPr>
          <w:rFonts w:ascii="Arial"/>
          <w:color w:val="BF5A14"/>
        </w:rPr>
        <w:t>Biography</w:t>
      </w:r>
    </w:p>
    <w:p w14:paraId="1EA9D37D" w14:textId="77777777" w:rsidR="00080C9A" w:rsidRDefault="00080C9A" w:rsidP="00080C9A">
      <w:pPr>
        <w:spacing w:before="41" w:line="154" w:lineRule="exact"/>
        <w:ind w:left="213" w:right="231"/>
        <w:jc w:val="both"/>
        <w:rPr>
          <w:rFonts w:ascii="Arial"/>
          <w:sz w:val="14"/>
        </w:rPr>
      </w:pPr>
      <w:r>
        <w:rPr>
          <w:rFonts w:ascii="Arial"/>
          <w:sz w:val="14"/>
        </w:rPr>
        <w:t xml:space="preserve">Dr Ghanshyam Kakadiya is a senior resident doctor in the orthopedic department at Topiwala National Medical College &amp; Nair </w:t>
      </w:r>
      <w:proofErr w:type="gramStart"/>
      <w:r>
        <w:rPr>
          <w:rFonts w:ascii="Arial"/>
          <w:sz w:val="14"/>
        </w:rPr>
        <w:t>Hoaspital,Mumbai</w:t>
      </w:r>
      <w:proofErr w:type="gramEnd"/>
      <w:r>
        <w:rPr>
          <w:rFonts w:ascii="Arial"/>
          <w:sz w:val="14"/>
        </w:rPr>
        <w:t>. He has expertise specially in Trauma and spine surgery and evaluation and passion in improving the health and wellbeing.</w:t>
      </w:r>
    </w:p>
    <w:p w14:paraId="74232D43" w14:textId="77777777" w:rsidR="00080C9A" w:rsidRDefault="00080C9A" w:rsidP="00080C9A">
      <w:pPr>
        <w:spacing w:before="62"/>
        <w:ind w:left="4217" w:right="4235"/>
        <w:jc w:val="center"/>
        <w:rPr>
          <w:rFonts w:ascii="Arial"/>
          <w:sz w:val="14"/>
        </w:rPr>
      </w:pPr>
      <w:r>
        <w:rPr>
          <w:rFonts w:ascii="Arial"/>
          <w:sz w:val="14"/>
        </w:rPr>
        <w:t xml:space="preserve">Email: </w:t>
      </w:r>
      <w:hyperlink r:id="rId9" w:history="1">
        <w:r w:rsidRPr="00066BE3">
          <w:rPr>
            <w:rStyle w:val="Hyperlink"/>
            <w:rFonts w:ascii="Arial"/>
            <w:sz w:val="14"/>
          </w:rPr>
          <w:t>drghanshyam89@gmail.com</w:t>
        </w:r>
      </w:hyperlink>
    </w:p>
    <w:p w14:paraId="048C4ECA" w14:textId="77777777" w:rsidR="00080C9A" w:rsidRDefault="00080C9A" w:rsidP="00080C9A">
      <w:pPr>
        <w:pStyle w:val="BodyText"/>
        <w:spacing w:before="2"/>
        <w:rPr>
          <w:rFonts w:ascii="Arial"/>
          <w:sz w:val="19"/>
        </w:rPr>
      </w:pPr>
      <w:r>
        <w:rPr>
          <w:noProof/>
          <w:lang w:val="en-IN" w:eastAsia="en-IN"/>
        </w:rPr>
        <mc:AlternateContent>
          <mc:Choice Requires="wps">
            <w:drawing>
              <wp:anchor distT="0" distB="0" distL="0" distR="0" simplePos="0" relativeHeight="251660288" behindDoc="0" locked="0" layoutInCell="1" allowOverlap="1" wp14:anchorId="0B3053A9" wp14:editId="580631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39298"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15B76125" w14:textId="77777777" w:rsidR="00080C9A" w:rsidRDefault="00080C9A" w:rsidP="00080C9A">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00A48F7B" wp14:editId="44210EB7">
                <wp:simplePos x="0" y="0"/>
                <wp:positionH relativeFrom="page">
                  <wp:posOffset>3201670</wp:posOffset>
                </wp:positionH>
                <wp:positionV relativeFrom="page">
                  <wp:posOffset>10147935</wp:posOffset>
                </wp:positionV>
                <wp:extent cx="1167130" cy="316865"/>
                <wp:effectExtent l="1270" t="3810" r="317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6D403" w14:textId="77777777" w:rsidR="00080C9A" w:rsidRPr="005B3A56" w:rsidRDefault="00080C9A" w:rsidP="00080C9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605EF1" w14:textId="77777777" w:rsidR="00080C9A" w:rsidRPr="005B3A56" w:rsidRDefault="00080C9A" w:rsidP="00080C9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A48F7B"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" filled="f" stroked="f">
                <v:textbox inset="0,0,0,0">
                  <w:txbxContent>
                    <w:p w14:paraId="3EE6D403" w14:textId="77777777" w:rsidR="00080C9A" w:rsidRPr="005B3A56" w:rsidRDefault="00080C9A" w:rsidP="00080C9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605EF1" w14:textId="77777777" w:rsidR="00080C9A" w:rsidRPr="005B3A56" w:rsidRDefault="00080C9A" w:rsidP="00080C9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p w14:paraId="3716800A" w14:textId="77777777" w:rsidR="00080C9A" w:rsidRDefault="00080C9A" w:rsidP="00080C9A">
      <w:pPr>
        <w:pStyle w:val="BodyText"/>
        <w:rPr>
          <w:rFonts w:ascii="Minion Pro"/>
          <w:sz w:val="26"/>
        </w:rPr>
      </w:pPr>
    </w:p>
    <w:p w14:paraId="0EFDE25F" w14:textId="77777777" w:rsidR="0027612C" w:rsidRDefault="00080C9A">
      <w:bookmarkStart w:id="0" w:name="_GoBack"/>
      <w:bookmarkEnd w:id="0"/>
    </w:p>
    <w:sectPr w:rsidR="0027612C" w:rsidSect="00EA52DF">
      <w:type w:val="continuous"/>
      <w:pgSz w:w="11910" w:h="16840"/>
      <w:pgMar w:top="1740" w:right="600" w:bottom="84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AE899" w14:textId="77777777" w:rsidR="00AE3E37" w:rsidRDefault="00080C9A">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5BAEF64" wp14:editId="2F7EAD1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4936B" w14:textId="77777777" w:rsidR="00AE3E37" w:rsidRPr="005B3A56" w:rsidRDefault="00080C9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887611" w14:textId="77777777" w:rsidR="00AE3E37" w:rsidRPr="005B3A56" w:rsidRDefault="00080C9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AEF64"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7BB4936B" w14:textId="77777777" w:rsidR="00AE3E37" w:rsidRPr="005B3A56" w:rsidRDefault="00080C9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887611" w14:textId="77777777" w:rsidR="00AE3E37" w:rsidRPr="005B3A56" w:rsidRDefault="00080C9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29C22192" wp14:editId="178EA0F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389EA" w14:textId="77777777" w:rsidR="00AE3E37" w:rsidRPr="005B3A56" w:rsidRDefault="00080C9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2EBE15" w14:textId="77777777" w:rsidR="00AE3E37" w:rsidRPr="005B3A56" w:rsidRDefault="00080C9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22192" id="_x0000_s1030"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4FE389EA" w14:textId="77777777" w:rsidR="00AE3E37" w:rsidRPr="005B3A56" w:rsidRDefault="00080C9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2EBE15" w14:textId="77777777" w:rsidR="00AE3E37" w:rsidRPr="005B3A56" w:rsidRDefault="00080C9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55C16BFC" wp14:editId="785876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96A7B" w14:textId="77777777" w:rsidR="00AE3E37" w:rsidRPr="005B3A56" w:rsidRDefault="00080C9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F6B95D" w14:textId="77777777" w:rsidR="00AE3E37" w:rsidRPr="005B3A56" w:rsidRDefault="00080C9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16BFC" id="Text Box 1" o:spid="_x0000_s1031"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19796A7B" w14:textId="77777777" w:rsidR="00AE3E37" w:rsidRPr="005B3A56" w:rsidRDefault="00080C9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F6B95D" w14:textId="77777777" w:rsidR="00AE3E37" w:rsidRPr="005B3A56" w:rsidRDefault="00080C9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BC520" w14:textId="77777777" w:rsidR="00AE3E37" w:rsidRDefault="00080C9A">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2787CBF6" wp14:editId="1FA8750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E62B1" w14:textId="77777777" w:rsidR="00AE3E37" w:rsidRPr="005B3A56" w:rsidRDefault="00080C9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Pr="005B3A56">
                            <w:rPr>
                              <w:rFonts w:ascii="Arial"/>
                              <w:color w:val="FFFFFF" w:themeColor="background1"/>
                              <w:sz w:val="14"/>
                            </w:rPr>
                            <w:t xml:space="preserve">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7CBF6"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433E62B1" w14:textId="77777777" w:rsidR="00AE3E37" w:rsidRPr="005B3A56" w:rsidRDefault="00080C9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Pr="005B3A56">
                      <w:rPr>
                        <w:rFonts w:ascii="Arial"/>
                        <w:color w:val="FFFFFF" w:themeColor="background1"/>
                        <w:sz w:val="14"/>
                      </w:rPr>
                      <w:t xml:space="preserve">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1C9DA2FF" wp14:editId="6682DF3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A882D" w14:textId="77777777" w:rsidR="00AE3E37" w:rsidRPr="005B3A56" w:rsidRDefault="00080C9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8703B5" w14:textId="77777777" w:rsidR="00AE3E37" w:rsidRPr="005B3A56" w:rsidRDefault="00080C9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DA2FF" id="Text Box 4" o:spid="_x0000_s1028"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463A882D" w14:textId="77777777" w:rsidR="00AE3E37" w:rsidRPr="005B3A56" w:rsidRDefault="00080C9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8703B5" w14:textId="77777777" w:rsidR="00AE3E37" w:rsidRPr="005B3A56" w:rsidRDefault="00080C9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E120ED"/>
    <w:multiLevelType w:val="hybridMultilevel"/>
    <w:tmpl w:val="9258B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9A"/>
    <w:rsid w:val="00080C9A"/>
    <w:rsid w:val="00083296"/>
    <w:rsid w:val="00744A90"/>
    <w:rsid w:val="007A2A93"/>
    <w:rsid w:val="00955D35"/>
    <w:rsid w:val="00ED0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C7D04"/>
  <w14:defaultImageDpi w14:val="32767"/>
  <w15:chartTrackingRefBased/>
  <w15:docId w15:val="{CC18D0A9-5C91-6349-B14A-B6EBA1B6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080C9A"/>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080C9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80C9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80C9A"/>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80C9A"/>
    <w:rPr>
      <w:rFonts w:ascii="Arial" w:eastAsia="Arial" w:hAnsi="Arial" w:cs="Arial"/>
      <w:b/>
      <w:bCs/>
      <w:sz w:val="20"/>
      <w:szCs w:val="20"/>
      <w:lang w:val="en-US"/>
    </w:rPr>
  </w:style>
  <w:style w:type="paragraph" w:styleId="BodyText">
    <w:name w:val="Body Text"/>
    <w:basedOn w:val="Normal"/>
    <w:link w:val="BodyTextChar"/>
    <w:uiPriority w:val="1"/>
    <w:qFormat/>
    <w:rsid w:val="00080C9A"/>
    <w:rPr>
      <w:sz w:val="18"/>
      <w:szCs w:val="18"/>
    </w:rPr>
  </w:style>
  <w:style w:type="character" w:customStyle="1" w:styleId="BodyTextChar">
    <w:name w:val="Body Text Char"/>
    <w:basedOn w:val="DefaultParagraphFont"/>
    <w:link w:val="BodyText"/>
    <w:uiPriority w:val="1"/>
    <w:rsid w:val="00080C9A"/>
    <w:rPr>
      <w:rFonts w:ascii="Tw Cen MT" w:eastAsia="Tw Cen MT" w:hAnsi="Tw Cen MT" w:cs="Tw Cen MT"/>
      <w:sz w:val="18"/>
      <w:szCs w:val="18"/>
      <w:lang w:val="en-US"/>
    </w:rPr>
  </w:style>
  <w:style w:type="character" w:styleId="Hyperlink">
    <w:name w:val="Hyperlink"/>
    <w:basedOn w:val="DefaultParagraphFont"/>
    <w:uiPriority w:val="99"/>
    <w:unhideWhenUsed/>
    <w:rsid w:val="00080C9A"/>
    <w:rPr>
      <w:color w:val="0563C1" w:themeColor="hyperlink"/>
      <w:u w:val="single"/>
    </w:rPr>
  </w:style>
  <w:style w:type="paragraph" w:styleId="NormalWeb">
    <w:name w:val="Normal (Web)"/>
    <w:basedOn w:val="Normal"/>
    <w:uiPriority w:val="99"/>
    <w:semiHidden/>
    <w:unhideWhenUsed/>
    <w:rsid w:val="00080C9A"/>
    <w:pPr>
      <w:widowControl/>
      <w:spacing w:before="100" w:beforeAutospacing="1" w:after="100" w:afterAutospacing="1"/>
    </w:pPr>
    <w:rPr>
      <w:rFonts w:ascii="Times New Roman" w:eastAsia="Times New Roman" w:hAnsi="Times New Roman" w:cs="Times New Roman"/>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arget="media/image2.jpeg" Type="http://schemas.openxmlformats.org/officeDocument/2006/relationships/image"/><Relationship Id="rId3" Target="settings.xml" Type="http://schemas.openxmlformats.org/officeDocument/2006/relationships/settings"/><Relationship Id="rId7" Target="media/image1.jpeg" Type="http://schemas.openxmlformats.org/officeDocument/2006/relationships/image"/><Relationship Id="rId2" Target="styles.xml" Type="http://schemas.openxmlformats.org/officeDocument/2006/relationships/styles"/><Relationship Id="rId1" Target="numbering.xml" Type="http://schemas.openxmlformats.org/officeDocument/2006/relationships/numbering"/><Relationship Id="rId6" Target="footer1.xml" Type="http://schemas.openxmlformats.org/officeDocument/2006/relationships/footer"/><Relationship Id="rId11" Target="theme/theme1.xml" Type="http://schemas.openxmlformats.org/officeDocument/2006/relationships/theme"/><Relationship Id="rId5" Target="header1.xml" Type="http://schemas.openxmlformats.org/officeDocument/2006/relationships/header"/><Relationship Id="rId10" Target="fontTable.xml" Type="http://schemas.openxmlformats.org/officeDocument/2006/relationships/fontTable"/><Relationship Id="rId4" Target="webSettings.xml" Type="http://schemas.openxmlformats.org/officeDocument/2006/relationships/webSettings"/><Relationship Id="rId9" Target="mailto:drghanshyam89@gmail.com" TargetMode="External" Type="http://schemas.openxmlformats.org/officeDocument/2006/relationships/hyperlink"/></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587</Words>
  <Characters>3349</Characters>
  <Application>Microsoft Office Word</Application>
  <DocSecurity>0</DocSecurity>
  <Lines>74</Lines>
  <Paragraphs>28</Paragraphs>
  <ScaleCrop>false</ScaleCrop>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2020-02-09T07:51:00Z</dcterms:created>
  <dcterms:modified xsi:type="dcterms:W3CDTF">2020-02-09T07:51:00Z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69972</vt:lpwstr>
  </property>
  <property fmtid="{D5CDD505-2E9C-101B-9397-08002B2CF9AE}" name="NXPowerLiteSettings" pid="3">
    <vt:lpwstr>C7000400038000</vt:lpwstr>
  </property>
  <property fmtid="{D5CDD505-2E9C-101B-9397-08002B2CF9AE}" name="NXPowerLiteVersion" pid="4">
    <vt:lpwstr>S8.2.3</vt:lpwstr>
  </property>
</Properties>
</file>