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82E46" w:rsidP="00494130">
      <w:pPr>
        <w:pStyle w:val="1"/>
        <w:spacing w:before="170"/>
        <w:ind w:left="0"/>
      </w:pPr>
      <w:bookmarkStart w:id="0" w:name="_Hlk8997577"/>
      <w:bookmarkEnd w:id="0"/>
      <w:r>
        <w:rPr>
          <w:color w:val="337AB7"/>
        </w:rPr>
        <w:t xml:space="preserve">Title: </w:t>
      </w:r>
    </w:p>
    <w:p w:rsidR="0023080E" w:rsidRDefault="0023080E" w:rsidP="009C1181">
      <w:pPr>
        <w:pStyle w:val="a3"/>
        <w:spacing w:before="73" w:line="198" w:lineRule="exact"/>
        <w:ind w:right="5987"/>
        <w:rPr>
          <w:rFonts w:ascii="Arial"/>
          <w:sz w:val="20"/>
        </w:rPr>
      </w:pPr>
      <w:r>
        <w:rPr>
          <w:rFonts w:ascii="Arial"/>
          <w:sz w:val="20"/>
        </w:rPr>
        <w:t>Dr.Togrul Caliliov, Ph.D, Scientific Research</w:t>
      </w:r>
    </w:p>
    <w:p w:rsidR="00AE3E37" w:rsidRPr="009C1181" w:rsidRDefault="0023080E" w:rsidP="009C1181">
      <w:pPr>
        <w:pStyle w:val="a3"/>
        <w:spacing w:before="73" w:line="198" w:lineRule="exact"/>
        <w:ind w:right="5987"/>
        <w:rPr>
          <w:rFonts w:ascii="Arial"/>
        </w:rPr>
      </w:pPr>
      <w:r>
        <w:rPr>
          <w:rFonts w:ascii="Arial"/>
          <w:sz w:val="20"/>
        </w:rPr>
        <w:t>Insitute of Traumatology and Ortopaedic</w:t>
      </w:r>
      <w:r w:rsidR="00CA4143">
        <w:rPr>
          <w:rFonts w:ascii="Arial"/>
          <w:sz w:val="20"/>
        </w:rPr>
        <w:tab/>
      </w:r>
      <w:r>
        <w:rPr>
          <w:rFonts w:ascii="Arial"/>
          <w:sz w:val="20"/>
        </w:rPr>
        <w:t>, Baku, Azerbaijan</w:t>
      </w:r>
    </w:p>
    <w:p w:rsidR="00AE3E37" w:rsidRDefault="00AE3E37">
      <w:pPr>
        <w:pStyle w:val="a3"/>
        <w:spacing w:before="3"/>
        <w:rPr>
          <w:rFonts w:ascii="Arial"/>
          <w:sz w:val="21"/>
        </w:rPr>
      </w:pPr>
    </w:p>
    <w:p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C5204" w:rsidRPr="00AC5204" w:rsidRDefault="00A9710C" w:rsidP="00AC5204">
      <w:pPr>
        <w:spacing w:line="281" w:lineRule="auto"/>
        <w:jc w:val="both"/>
        <w:rPr>
          <w:rFonts w:asciiTheme="minorHAnsi" w:hAnsiTheme="minorHAnsi" w:cstheme="minorHAnsi"/>
          <w:color w:val="FF0000"/>
          <w:sz w:val="18"/>
          <w:szCs w:val="18"/>
        </w:rPr>
      </w:pPr>
      <w:r w:rsidRPr="0023080E">
        <w:rPr>
          <w:sz w:val="18"/>
          <w:szCs w:val="18"/>
        </w:rPr>
        <w:t xml:space="preserve">Statement of the Problem: </w:t>
      </w:r>
      <w:r w:rsidR="0023080E" w:rsidRPr="0023080E">
        <w:rPr>
          <w:rFonts w:asciiTheme="minorHAnsi" w:eastAsia="Times New Roman" w:hAnsiTheme="minorHAnsi" w:cstheme="minorHAnsi"/>
          <w:sz w:val="18"/>
          <w:szCs w:val="18"/>
        </w:rPr>
        <w:t>Description of</w:t>
      </w:r>
      <w:r w:rsidR="0023080E" w:rsidRPr="0023080E">
        <w:rPr>
          <w:rFonts w:asciiTheme="minorHAnsi" w:hAnsiTheme="minorHAnsi" w:cstheme="minorHAnsi"/>
          <w:sz w:val="18"/>
          <w:szCs w:val="18"/>
        </w:rPr>
        <w:t xml:space="preserve"> correction of severe scoliosis with modified Cantilever bending technique without anterior discectomy or osteotomy.</w:t>
      </w:r>
      <w:r w:rsidRPr="0023080E">
        <w:rPr>
          <w:sz w:val="18"/>
          <w:szCs w:val="18"/>
        </w:rPr>
        <w:t>Methodolog</w:t>
      </w:r>
      <w:r w:rsidR="0078738A" w:rsidRPr="0023080E">
        <w:rPr>
          <w:sz w:val="18"/>
          <w:szCs w:val="18"/>
        </w:rPr>
        <w:t>y &amp; Theoretical Orientation:</w:t>
      </w:r>
      <w:r w:rsidR="0023080E" w:rsidRPr="0023080E">
        <w:rPr>
          <w:rFonts w:ascii="Times New Roman" w:hAnsi="Times New Roman" w:cs="Times New Roman"/>
          <w:sz w:val="28"/>
          <w:szCs w:val="28"/>
        </w:rPr>
        <w:t xml:space="preserve"> </w:t>
      </w:r>
      <w:r w:rsidR="0023080E" w:rsidRPr="0023080E">
        <w:rPr>
          <w:rFonts w:asciiTheme="minorHAnsi" w:hAnsiTheme="minorHAnsi" w:cstheme="minorHAnsi"/>
          <w:sz w:val="18"/>
          <w:szCs w:val="18"/>
        </w:rPr>
        <w:t>Ponte, PSO and VCR type posterior osteotomies are often</w:t>
      </w:r>
      <w:r w:rsidR="00AC5204">
        <w:rPr>
          <w:rFonts w:asciiTheme="minorHAnsi" w:hAnsiTheme="minorHAnsi" w:cstheme="minorHAnsi"/>
          <w:sz w:val="18"/>
          <w:szCs w:val="18"/>
        </w:rPr>
        <w:t xml:space="preserve"> required for the treatment of </w:t>
      </w:r>
      <w:r w:rsidR="0023080E" w:rsidRPr="0023080E">
        <w:rPr>
          <w:rFonts w:asciiTheme="minorHAnsi" w:hAnsiTheme="minorHAnsi" w:cstheme="minorHAnsi"/>
          <w:sz w:val="18"/>
          <w:szCs w:val="18"/>
        </w:rPr>
        <w:t xml:space="preserve">rigid deformations above 55 </w:t>
      </w:r>
      <w:r w:rsidR="0023080E" w:rsidRPr="0023080E">
        <w:rPr>
          <w:rFonts w:asciiTheme="minorHAnsi" w:hAnsiTheme="minorHAnsi" w:cstheme="minorHAnsi"/>
          <w:sz w:val="18"/>
          <w:szCs w:val="18"/>
          <w:lang w:val="it-IT"/>
        </w:rPr>
        <w:t>°</w:t>
      </w:r>
      <w:r w:rsidR="0023080E" w:rsidRPr="0023080E">
        <w:rPr>
          <w:rFonts w:asciiTheme="minorHAnsi" w:hAnsiTheme="minorHAnsi" w:cstheme="minorHAnsi"/>
          <w:sz w:val="18"/>
          <w:szCs w:val="18"/>
        </w:rPr>
        <w:t>. The classic Cantilever maneuver was described by Kao-Wha Chang in 2003.</w:t>
      </w:r>
      <w:r w:rsidR="0023080E" w:rsidRPr="0023080E">
        <w:rPr>
          <w:rFonts w:asciiTheme="minorHAnsi" w:hAnsiTheme="minorHAnsi" w:cstheme="minorHAnsi"/>
          <w:color w:val="FF0000"/>
          <w:sz w:val="18"/>
          <w:szCs w:val="18"/>
        </w:rPr>
        <w:t xml:space="preserve"> </w:t>
      </w:r>
      <w:r w:rsidR="0023080E" w:rsidRPr="0023080E">
        <w:rPr>
          <w:rFonts w:asciiTheme="minorHAnsi" w:hAnsiTheme="minorHAnsi" w:cstheme="minorHAnsi"/>
          <w:sz w:val="18"/>
          <w:szCs w:val="18"/>
        </w:rPr>
        <w:t xml:space="preserve">In this study, we will discuss the correction of severe scoliosis with modified Cantilever bending technique without anterior discectomy or osteotomy. </w:t>
      </w:r>
      <w:r w:rsidRPr="0023080E">
        <w:rPr>
          <w:sz w:val="18"/>
          <w:szCs w:val="18"/>
        </w:rPr>
        <w:t>Findings:</w:t>
      </w:r>
      <w:r w:rsidR="0023080E" w:rsidRPr="0023080E">
        <w:rPr>
          <w:color w:val="000000"/>
          <w:sz w:val="28"/>
          <w:szCs w:val="28"/>
        </w:rPr>
        <w:t xml:space="preserve"> </w:t>
      </w:r>
      <w:r w:rsidR="0023080E" w:rsidRPr="0023080E">
        <w:rPr>
          <w:rFonts w:asciiTheme="minorHAnsi" w:hAnsiTheme="minorHAnsi" w:cstheme="minorHAnsi"/>
          <w:color w:val="000000"/>
          <w:sz w:val="18"/>
          <w:szCs w:val="18"/>
        </w:rPr>
        <w:t>The technique was performed in 24 patients. 2 of them were male and 22 were female. The age of the patients was between 12-32, the severity of deformity was 57°-120°. 1 or 1.5 years of outcomes are present.</w:t>
      </w:r>
      <w:r w:rsidRPr="0023080E">
        <w:rPr>
          <w:rFonts w:asciiTheme="minorHAnsi" w:hAnsiTheme="minorHAnsi" w:cstheme="minorHAnsi"/>
          <w:sz w:val="18"/>
          <w:szCs w:val="18"/>
        </w:rPr>
        <w:t xml:space="preserve"> </w:t>
      </w:r>
      <w:r w:rsidRPr="00AC5204">
        <w:rPr>
          <w:sz w:val="18"/>
          <w:szCs w:val="18"/>
        </w:rPr>
        <w:t xml:space="preserve">Conclusion &amp; Significance: </w:t>
      </w:r>
      <w:r w:rsidR="00AC5204" w:rsidRPr="00AC5204">
        <w:rPr>
          <w:rFonts w:asciiTheme="minorHAnsi" w:hAnsiTheme="minorHAnsi" w:cstheme="minorHAnsi"/>
          <w:sz w:val="18"/>
          <w:szCs w:val="18"/>
        </w:rPr>
        <w:t xml:space="preserve">The degree of major curvature was 82.78° ± 19.89° (min. 57°, max. 120°). In order to measure the flexibility of the curves, bending graphs were determined and an average of 21,58° ± 14,46° (% 26.10 ± % 13.69; minimum 2.0°, maximum 40.1°) was detected. This means as the all curves were rigid and severe curves in the patients (t: 2.01; p&gt; 0.05). On the other hand, mean postoperative correction of the major curves was 50,08° ± 13,23° (% 60.49 ± % 14.14; minimum 33.5°, maximum 82.3°) with statistically significance (t:14.85; p&lt;0.01). Postoperative correction percentages were higher than the correction of the curves in the bending graphics with statistically significance (t: -15.42; p&lt; 0.01) Operations were performed without neuromonitarization, none of the patients had neurological complications. No clinical signs were observed in follow ups. Thoracoplasty was not performed in any patient and there was no patient complaint requiring thoracoplasty. During the operation, only facetectomies were used, and neither anterior release nor posterior vertebral osteotomies were performed. </w:t>
      </w:r>
      <w:r w:rsidR="00AC5204" w:rsidRPr="00AC5204">
        <w:rPr>
          <w:rFonts w:asciiTheme="minorHAnsi" w:eastAsia="Times New Roman" w:hAnsiTheme="minorHAnsi" w:cstheme="minorHAnsi"/>
          <w:sz w:val="18"/>
          <w:szCs w:val="18"/>
        </w:rPr>
        <w:t xml:space="preserve"> </w:t>
      </w:r>
    </w:p>
    <w:p w:rsidR="00AE3E37" w:rsidRPr="00AC5204" w:rsidRDefault="00AE3E37" w:rsidP="00AC5204">
      <w:pPr>
        <w:pStyle w:val="WW-"/>
        <w:spacing w:line="281" w:lineRule="auto"/>
        <w:jc w:val="both"/>
        <w:rPr>
          <w:rFonts w:asciiTheme="minorHAnsi" w:hAnsiTheme="minorHAnsi" w:cstheme="minorHAnsi"/>
          <w:sz w:val="18"/>
          <w:szCs w:val="18"/>
        </w:rPr>
      </w:pPr>
    </w:p>
    <w:p w:rsidR="00AE3E37" w:rsidRDefault="00A9710C" w:rsidP="00AC5204">
      <w:pPr>
        <w:pStyle w:val="3"/>
        <w:spacing w:before="74" w:line="281" w:lineRule="auto"/>
      </w:pPr>
      <w:r w:rsidRPr="00AC5204">
        <w:rPr>
          <w:rFonts w:asciiTheme="minorHAnsi" w:hAnsiTheme="minorHAnsi" w:cstheme="minorHAnsi"/>
          <w:b w:val="0"/>
          <w:sz w:val="18"/>
          <w:szCs w:val="18"/>
        </w:rPr>
        <w:br w:type="column"/>
      </w:r>
      <w:r>
        <w:rPr>
          <w:color w:val="BF5A14"/>
        </w:rPr>
        <w:lastRenderedPageBreak/>
        <w:t>Image</w:t>
      </w:r>
    </w:p>
    <w:p w:rsidR="00AC5204" w:rsidRDefault="00AC5204" w:rsidP="00AC5204">
      <w:pPr>
        <w:pStyle w:val="Default"/>
        <w:spacing w:before="560" w:after="100" w:line="281" w:lineRule="auto"/>
        <w:ind w:left="40"/>
        <w:rPr>
          <w:sz w:val="18"/>
          <w:szCs w:val="18"/>
        </w:rPr>
      </w:pPr>
      <w:r>
        <w:rPr>
          <w:b/>
          <w:bCs/>
          <w:sz w:val="18"/>
          <w:szCs w:val="18"/>
        </w:rPr>
        <w:t xml:space="preserve">Table-1. </w:t>
      </w:r>
      <w:r>
        <w:rPr>
          <w:sz w:val="18"/>
          <w:szCs w:val="18"/>
        </w:rPr>
        <w:t xml:space="preserve">Indicative statistics </w:t>
      </w:r>
    </w:p>
    <w:tbl>
      <w:tblPr>
        <w:tblW w:w="0" w:type="auto"/>
        <w:tblBorders>
          <w:top w:val="nil"/>
          <w:left w:val="nil"/>
          <w:bottom w:val="nil"/>
          <w:right w:val="nil"/>
        </w:tblBorders>
        <w:tblLayout w:type="fixed"/>
        <w:tblLook w:val="0000"/>
      </w:tblPr>
      <w:tblGrid>
        <w:gridCol w:w="3231"/>
        <w:gridCol w:w="1616"/>
        <w:gridCol w:w="1615"/>
        <w:gridCol w:w="3232"/>
      </w:tblGrid>
      <w:tr w:rsidR="00AC5204">
        <w:tblPrEx>
          <w:tblCellMar>
            <w:top w:w="0" w:type="dxa"/>
            <w:bottom w:w="0" w:type="dxa"/>
          </w:tblCellMar>
        </w:tblPrEx>
        <w:trPr>
          <w:trHeight w:val="155"/>
        </w:trPr>
        <w:tc>
          <w:tcPr>
            <w:tcW w:w="4847" w:type="dxa"/>
            <w:gridSpan w:val="2"/>
          </w:tcPr>
          <w:p w:rsidR="00AC5204" w:rsidRDefault="00AC5204" w:rsidP="00AC5204">
            <w:pPr>
              <w:pStyle w:val="Pa19"/>
              <w:spacing w:line="281" w:lineRule="auto"/>
              <w:jc w:val="center"/>
              <w:rPr>
                <w:color w:val="000000"/>
                <w:sz w:val="18"/>
                <w:szCs w:val="18"/>
              </w:rPr>
            </w:pPr>
            <w:r>
              <w:rPr>
                <w:rStyle w:val="A00"/>
                <w:b/>
                <w:bCs/>
              </w:rPr>
              <w:t xml:space="preserve">Mean ± SD* </w:t>
            </w:r>
          </w:p>
        </w:tc>
        <w:tc>
          <w:tcPr>
            <w:tcW w:w="4847" w:type="dxa"/>
            <w:gridSpan w:val="2"/>
          </w:tcPr>
          <w:p w:rsidR="00AC5204" w:rsidRDefault="00AC5204" w:rsidP="00AC5204">
            <w:pPr>
              <w:pStyle w:val="Pa19"/>
              <w:spacing w:line="281" w:lineRule="auto"/>
              <w:jc w:val="center"/>
              <w:rPr>
                <w:color w:val="000000"/>
                <w:sz w:val="18"/>
                <w:szCs w:val="18"/>
              </w:rPr>
            </w:pPr>
            <w:r>
              <w:rPr>
                <w:rStyle w:val="A00"/>
                <w:b/>
                <w:bCs/>
              </w:rPr>
              <w:t xml:space="preserve">Range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Age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19,04 ± 5,62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12 - 32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Cobb Angle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82,78° ± 19,89°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57° - 120°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Flexibility (Degree)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21,58° ± 14,46°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2° - 40,1°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t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2,01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p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&gt; 0,05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Correction (Degree)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50,08° ± 13,23°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33° - 82°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t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14,85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p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&lt; 0,01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 FLEX, **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 26,10 ± % 13,69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 COR,***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 60,49 ± % 14,14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t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-15,42 </w:t>
            </w:r>
          </w:p>
        </w:tc>
        <w:tc>
          <w:tcPr>
            <w:tcW w:w="3231" w:type="dxa"/>
          </w:tcPr>
          <w:p w:rsidR="00AC5204" w:rsidRDefault="00AC5204" w:rsidP="00AC5204">
            <w:pPr>
              <w:pStyle w:val="Pa21"/>
              <w:spacing w:after="160" w:line="281" w:lineRule="auto"/>
              <w:jc w:val="center"/>
              <w:rPr>
                <w:color w:val="000000"/>
                <w:sz w:val="18"/>
                <w:szCs w:val="18"/>
              </w:rPr>
            </w:pPr>
            <w:r>
              <w:rPr>
                <w:rStyle w:val="A00"/>
              </w:rPr>
              <w:t xml:space="preserve">- </w:t>
            </w:r>
          </w:p>
        </w:tc>
      </w:tr>
      <w:tr w:rsidR="00AC5204">
        <w:tblPrEx>
          <w:tblCellMar>
            <w:top w:w="0" w:type="dxa"/>
            <w:bottom w:w="0" w:type="dxa"/>
          </w:tblCellMar>
        </w:tblPrEx>
        <w:trPr>
          <w:trHeight w:val="155"/>
        </w:trPr>
        <w:tc>
          <w:tcPr>
            <w:tcW w:w="3231" w:type="dxa"/>
          </w:tcPr>
          <w:p w:rsidR="00AC5204" w:rsidRDefault="00AC5204" w:rsidP="00AC5204">
            <w:pPr>
              <w:pStyle w:val="Pa20"/>
              <w:spacing w:line="281" w:lineRule="auto"/>
              <w:ind w:firstLine="160"/>
              <w:jc w:val="both"/>
              <w:rPr>
                <w:color w:val="000000"/>
                <w:sz w:val="18"/>
                <w:szCs w:val="18"/>
              </w:rPr>
            </w:pPr>
            <w:r>
              <w:rPr>
                <w:rStyle w:val="A00"/>
                <w:b/>
                <w:bCs/>
              </w:rPr>
              <w:t xml:space="preserve">p </w:t>
            </w:r>
          </w:p>
        </w:tc>
        <w:tc>
          <w:tcPr>
            <w:tcW w:w="3231" w:type="dxa"/>
            <w:gridSpan w:val="2"/>
          </w:tcPr>
          <w:p w:rsidR="00AC5204" w:rsidRDefault="00AC5204" w:rsidP="00AC5204">
            <w:pPr>
              <w:pStyle w:val="Pa21"/>
              <w:spacing w:after="160" w:line="281" w:lineRule="auto"/>
              <w:jc w:val="center"/>
              <w:rPr>
                <w:color w:val="000000"/>
                <w:sz w:val="18"/>
                <w:szCs w:val="18"/>
              </w:rPr>
            </w:pPr>
            <w:r>
              <w:rPr>
                <w:rStyle w:val="A00"/>
              </w:rPr>
              <w:t xml:space="preserve">&lt; 0,01 </w:t>
            </w:r>
          </w:p>
        </w:tc>
        <w:tc>
          <w:tcPr>
            <w:tcW w:w="3231" w:type="dxa"/>
          </w:tcPr>
          <w:p w:rsidR="00AC5204" w:rsidRDefault="00AC5204" w:rsidP="00AC5204">
            <w:pPr>
              <w:pStyle w:val="Pa21"/>
              <w:spacing w:after="160" w:line="281" w:lineRule="auto"/>
              <w:jc w:val="center"/>
              <w:rPr>
                <w:color w:val="000000"/>
                <w:sz w:val="18"/>
                <w:szCs w:val="18"/>
              </w:rPr>
            </w:pPr>
            <w:r>
              <w:rPr>
                <w:rStyle w:val="A00"/>
              </w:rPr>
              <w:t>-</w:t>
            </w:r>
          </w:p>
        </w:tc>
      </w:tr>
    </w:tbl>
    <w:p w:rsidR="00AE3E37" w:rsidRDefault="00AE3E37">
      <w:pPr>
        <w:pStyle w:val="a3"/>
        <w:spacing w:before="2"/>
        <w:rPr>
          <w:rFonts w:ascii="Arial"/>
          <w:b/>
          <w:sz w:val="16"/>
        </w:rPr>
      </w:pPr>
    </w:p>
    <w:p w:rsidR="00AC5204" w:rsidRDefault="005973B9" w:rsidP="00AC5204">
      <w:pPr>
        <w:spacing w:line="204" w:lineRule="exact"/>
        <w:rPr>
          <w:rFonts w:ascii="Arial"/>
          <w:b/>
          <w:sz w:val="20"/>
        </w:rPr>
      </w:pPr>
      <w:r>
        <w:rPr>
          <w:rFonts w:ascii="Arial"/>
          <w:b/>
          <w:color w:val="BF5A14"/>
          <w:sz w:val="20"/>
        </w:rPr>
        <w:br/>
        <w:t>Recent Publications (minimum 5)</w:t>
      </w:r>
    </w:p>
    <w:p w:rsidR="00AC5204" w:rsidRPr="00AC5204" w:rsidRDefault="00AC5204" w:rsidP="00AC5204">
      <w:pPr>
        <w:spacing w:line="204" w:lineRule="exact"/>
        <w:rPr>
          <w:rFonts w:ascii="Arial"/>
          <w:b/>
          <w:sz w:val="20"/>
        </w:rPr>
      </w:pPr>
    </w:p>
    <w:p w:rsidR="00AC5204" w:rsidRPr="00AC5204" w:rsidRDefault="00EB1A6B" w:rsidP="00AC5204">
      <w:pPr>
        <w:widowControl/>
        <w:autoSpaceDE w:val="0"/>
        <w:autoSpaceDN w:val="0"/>
        <w:adjustRightInd w:val="0"/>
        <w:spacing w:line="281" w:lineRule="auto"/>
        <w:rPr>
          <w:rFonts w:asciiTheme="minorHAnsi" w:eastAsiaTheme="minorHAnsi" w:hAnsiTheme="minorHAnsi" w:cstheme="minorHAnsi"/>
          <w:color w:val="000000"/>
          <w:sz w:val="18"/>
          <w:szCs w:val="18"/>
        </w:rPr>
      </w:pPr>
      <w:r>
        <w:rPr>
          <w:rFonts w:asciiTheme="minorHAnsi" w:eastAsiaTheme="minorHAnsi" w:hAnsiTheme="minorHAnsi" w:cstheme="minorHAnsi"/>
          <w:color w:val="000000"/>
          <w:sz w:val="18"/>
          <w:szCs w:val="18"/>
        </w:rPr>
        <w:t xml:space="preserve">1. </w:t>
      </w:r>
      <w:r w:rsidR="00AC5204" w:rsidRPr="00AC5204">
        <w:rPr>
          <w:rFonts w:asciiTheme="minorHAnsi" w:eastAsiaTheme="minorHAnsi" w:hAnsiTheme="minorHAnsi" w:cstheme="minorHAnsi"/>
          <w:color w:val="000000"/>
          <w:sz w:val="18"/>
          <w:szCs w:val="18"/>
        </w:rPr>
        <w:t xml:space="preserve">Ayhan S, Aykac B, Yuksel S, Guler UO, Pellice F, Alanay A, Perez-Guerso FJ, Acaroglu E, ESSG European Spine Study Group. Safety and efficacy of spinal osteotomies in adult spinal deformity: what happens in the first year? </w:t>
      </w:r>
      <w:r w:rsidR="00AC5204" w:rsidRPr="00AC5204">
        <w:rPr>
          <w:rFonts w:asciiTheme="minorHAnsi" w:eastAsiaTheme="minorHAnsi" w:hAnsiTheme="minorHAnsi" w:cstheme="minorHAnsi"/>
          <w:i/>
          <w:iCs/>
          <w:color w:val="000000"/>
          <w:sz w:val="18"/>
          <w:szCs w:val="18"/>
        </w:rPr>
        <w:t xml:space="preserve">Eur Spine J </w:t>
      </w:r>
      <w:r w:rsidR="00AC5204" w:rsidRPr="00AC5204">
        <w:rPr>
          <w:rFonts w:asciiTheme="minorHAnsi" w:eastAsiaTheme="minorHAnsi" w:hAnsiTheme="minorHAnsi" w:cstheme="minorHAnsi"/>
          <w:color w:val="000000"/>
          <w:sz w:val="18"/>
          <w:szCs w:val="18"/>
        </w:rPr>
        <w:t xml:space="preserve">2016; 25(8): 2471-2479. </w:t>
      </w:r>
    </w:p>
    <w:p w:rsidR="00AC5204" w:rsidRPr="00AC5204" w:rsidRDefault="00AC5204" w:rsidP="00AC5204">
      <w:pPr>
        <w:widowControl/>
        <w:autoSpaceDE w:val="0"/>
        <w:autoSpaceDN w:val="0"/>
        <w:adjustRightInd w:val="0"/>
        <w:spacing w:line="281" w:lineRule="auto"/>
        <w:rPr>
          <w:rFonts w:asciiTheme="minorHAnsi" w:eastAsiaTheme="minorHAnsi" w:hAnsiTheme="minorHAnsi" w:cstheme="minorHAnsi"/>
          <w:color w:val="000000"/>
          <w:sz w:val="18"/>
          <w:szCs w:val="18"/>
        </w:rPr>
      </w:pPr>
      <w:r w:rsidRPr="00AC5204">
        <w:rPr>
          <w:rFonts w:asciiTheme="minorHAnsi" w:eastAsiaTheme="minorHAnsi" w:hAnsiTheme="minorHAnsi" w:cstheme="minorHAnsi"/>
          <w:color w:val="000000"/>
          <w:sz w:val="18"/>
          <w:szCs w:val="18"/>
        </w:rPr>
        <w:t xml:space="preserve">2. Burd TA, Pawelek L, Lenke LG. Upper extremity functional assessment after anterior spinal fusion via thoracotomy for adolescent idiopathic scoliosis. </w:t>
      </w:r>
      <w:r w:rsidRPr="00AC5204">
        <w:rPr>
          <w:rFonts w:asciiTheme="minorHAnsi" w:eastAsiaTheme="minorHAnsi" w:hAnsiTheme="minorHAnsi" w:cstheme="minorHAnsi"/>
          <w:i/>
          <w:iCs/>
          <w:color w:val="000000"/>
          <w:sz w:val="18"/>
          <w:szCs w:val="18"/>
        </w:rPr>
        <w:t xml:space="preserve">Spine </w:t>
      </w:r>
      <w:r w:rsidRPr="00AC5204">
        <w:rPr>
          <w:rFonts w:asciiTheme="minorHAnsi" w:eastAsiaTheme="minorHAnsi" w:hAnsiTheme="minorHAnsi" w:cstheme="minorHAnsi"/>
          <w:color w:val="000000"/>
          <w:sz w:val="18"/>
          <w:szCs w:val="18"/>
        </w:rPr>
        <w:t xml:space="preserve">2002; 27: 65–71. </w:t>
      </w:r>
    </w:p>
    <w:p w:rsidR="00AC5204" w:rsidRPr="00AC5204" w:rsidRDefault="00AC5204" w:rsidP="00AC5204">
      <w:pPr>
        <w:widowControl/>
        <w:autoSpaceDE w:val="0"/>
        <w:autoSpaceDN w:val="0"/>
        <w:adjustRightInd w:val="0"/>
        <w:spacing w:line="281" w:lineRule="auto"/>
        <w:rPr>
          <w:rFonts w:asciiTheme="minorHAnsi" w:eastAsiaTheme="minorHAnsi" w:hAnsiTheme="minorHAnsi" w:cstheme="minorHAnsi"/>
          <w:color w:val="000000"/>
          <w:sz w:val="18"/>
          <w:szCs w:val="18"/>
        </w:rPr>
      </w:pPr>
      <w:r w:rsidRPr="00AC5204">
        <w:rPr>
          <w:rFonts w:asciiTheme="minorHAnsi" w:eastAsiaTheme="minorHAnsi" w:hAnsiTheme="minorHAnsi" w:cstheme="minorHAnsi"/>
          <w:color w:val="000000"/>
          <w:sz w:val="18"/>
          <w:szCs w:val="18"/>
        </w:rPr>
        <w:t xml:space="preserve">3. Chan CY, Lim CY, Shahnaz Hasan M, Kwan MK. The use of pre-operative halo traction to minimize risk for correction of severe scoliosis in a patient with Fontan circulation: a case report and review of literature. </w:t>
      </w:r>
      <w:r w:rsidRPr="00AC5204">
        <w:rPr>
          <w:rFonts w:asciiTheme="minorHAnsi" w:eastAsiaTheme="minorHAnsi" w:hAnsiTheme="minorHAnsi" w:cstheme="minorHAnsi"/>
          <w:i/>
          <w:iCs/>
          <w:color w:val="000000"/>
          <w:sz w:val="18"/>
          <w:szCs w:val="18"/>
        </w:rPr>
        <w:t xml:space="preserve">Eur Spine J </w:t>
      </w:r>
      <w:r w:rsidRPr="00AC5204">
        <w:rPr>
          <w:rFonts w:asciiTheme="minorHAnsi" w:eastAsiaTheme="minorHAnsi" w:hAnsiTheme="minorHAnsi" w:cstheme="minorHAnsi"/>
          <w:color w:val="000000"/>
          <w:sz w:val="18"/>
          <w:szCs w:val="18"/>
        </w:rPr>
        <w:t xml:space="preserve">2016; 25(Suppl.-1): 245–250. </w:t>
      </w:r>
    </w:p>
    <w:p w:rsidR="00AC5204" w:rsidRPr="00AC5204" w:rsidRDefault="00AC5204" w:rsidP="00AC5204">
      <w:pPr>
        <w:widowControl/>
        <w:autoSpaceDE w:val="0"/>
        <w:autoSpaceDN w:val="0"/>
        <w:adjustRightInd w:val="0"/>
        <w:spacing w:line="281" w:lineRule="auto"/>
        <w:rPr>
          <w:rFonts w:asciiTheme="minorHAnsi" w:eastAsiaTheme="minorHAnsi" w:hAnsiTheme="minorHAnsi" w:cstheme="minorHAnsi"/>
          <w:color w:val="000000"/>
          <w:sz w:val="18"/>
          <w:szCs w:val="18"/>
        </w:rPr>
      </w:pPr>
      <w:r w:rsidRPr="00AC5204">
        <w:rPr>
          <w:rFonts w:asciiTheme="minorHAnsi" w:eastAsiaTheme="minorHAnsi" w:hAnsiTheme="minorHAnsi" w:cstheme="minorHAnsi"/>
          <w:color w:val="000000"/>
          <w:sz w:val="18"/>
          <w:szCs w:val="18"/>
        </w:rPr>
        <w:t xml:space="preserve">4. Chang KW. Cantilever bending technique for treatment of large and rigid scoliosis. </w:t>
      </w:r>
      <w:r w:rsidRPr="00AC5204">
        <w:rPr>
          <w:rFonts w:asciiTheme="minorHAnsi" w:eastAsiaTheme="minorHAnsi" w:hAnsiTheme="minorHAnsi" w:cstheme="minorHAnsi"/>
          <w:i/>
          <w:iCs/>
          <w:color w:val="000000"/>
          <w:sz w:val="18"/>
          <w:szCs w:val="18"/>
        </w:rPr>
        <w:t xml:space="preserve">Spine </w:t>
      </w:r>
      <w:r w:rsidRPr="00AC5204">
        <w:rPr>
          <w:rFonts w:asciiTheme="minorHAnsi" w:eastAsiaTheme="minorHAnsi" w:hAnsiTheme="minorHAnsi" w:cstheme="minorHAnsi"/>
          <w:color w:val="000000"/>
          <w:sz w:val="18"/>
          <w:szCs w:val="18"/>
        </w:rPr>
        <w:t>2003</w:t>
      </w:r>
      <w:r w:rsidRPr="00AC5204">
        <w:rPr>
          <w:rFonts w:asciiTheme="minorHAnsi" w:eastAsiaTheme="minorHAnsi" w:hAnsiTheme="minorHAnsi" w:cstheme="minorHAnsi"/>
          <w:i/>
          <w:iCs/>
          <w:color w:val="000000"/>
          <w:sz w:val="18"/>
          <w:szCs w:val="18"/>
        </w:rPr>
        <w:t xml:space="preserve">; </w:t>
      </w:r>
      <w:r w:rsidRPr="00AC5204">
        <w:rPr>
          <w:rFonts w:asciiTheme="minorHAnsi" w:eastAsiaTheme="minorHAnsi" w:hAnsiTheme="minorHAnsi" w:cstheme="minorHAnsi"/>
          <w:color w:val="000000"/>
          <w:sz w:val="18"/>
          <w:szCs w:val="18"/>
        </w:rPr>
        <w:t xml:space="preserve">28(21): 2452–2458. </w:t>
      </w:r>
    </w:p>
    <w:p w:rsidR="00AC5204" w:rsidRPr="00AC5204" w:rsidRDefault="00AC5204" w:rsidP="00AC5204">
      <w:pPr>
        <w:widowControl/>
        <w:autoSpaceDE w:val="0"/>
        <w:autoSpaceDN w:val="0"/>
        <w:adjustRightInd w:val="0"/>
        <w:spacing w:line="281" w:lineRule="auto"/>
        <w:rPr>
          <w:rFonts w:asciiTheme="minorHAnsi" w:eastAsiaTheme="minorHAnsi" w:hAnsiTheme="minorHAnsi" w:cstheme="minorHAnsi"/>
          <w:color w:val="000000"/>
          <w:sz w:val="18"/>
          <w:szCs w:val="18"/>
        </w:rPr>
      </w:pPr>
      <w:r w:rsidRPr="00AC5204">
        <w:rPr>
          <w:rFonts w:asciiTheme="minorHAnsi" w:eastAsiaTheme="minorHAnsi" w:hAnsiTheme="minorHAnsi" w:cstheme="minorHAnsi"/>
          <w:color w:val="000000"/>
          <w:sz w:val="18"/>
          <w:szCs w:val="18"/>
        </w:rPr>
        <w:t xml:space="preserve">5. Cotrel Y, Dubousset J, Guillaumat M. New universal instrumentation in spine surgery. </w:t>
      </w:r>
      <w:r w:rsidRPr="00AC5204">
        <w:rPr>
          <w:rFonts w:asciiTheme="minorHAnsi" w:eastAsiaTheme="minorHAnsi" w:hAnsiTheme="minorHAnsi" w:cstheme="minorHAnsi"/>
          <w:i/>
          <w:iCs/>
          <w:color w:val="000000"/>
          <w:sz w:val="18"/>
          <w:szCs w:val="18"/>
        </w:rPr>
        <w:t xml:space="preserve">Clin Orthop </w:t>
      </w:r>
      <w:r w:rsidRPr="00AC5204">
        <w:rPr>
          <w:rFonts w:asciiTheme="minorHAnsi" w:eastAsiaTheme="minorHAnsi" w:hAnsiTheme="minorHAnsi" w:cstheme="minorHAnsi"/>
          <w:color w:val="000000"/>
          <w:sz w:val="18"/>
          <w:szCs w:val="18"/>
        </w:rPr>
        <w:t xml:space="preserve">1988; 227: 10–23. </w:t>
      </w:r>
    </w:p>
    <w:p w:rsidR="00AC5204" w:rsidRPr="00AC5204" w:rsidRDefault="00AC5204" w:rsidP="00AC5204">
      <w:pPr>
        <w:widowControl/>
        <w:autoSpaceDE w:val="0"/>
        <w:autoSpaceDN w:val="0"/>
        <w:adjustRightInd w:val="0"/>
        <w:spacing w:line="281" w:lineRule="auto"/>
        <w:rPr>
          <w:rFonts w:asciiTheme="minorHAnsi" w:eastAsiaTheme="minorHAnsi" w:hAnsiTheme="minorHAnsi" w:cstheme="minorHAnsi"/>
          <w:color w:val="000000"/>
          <w:sz w:val="18"/>
          <w:szCs w:val="18"/>
        </w:rPr>
      </w:pPr>
      <w:r w:rsidRPr="00AC5204">
        <w:rPr>
          <w:rFonts w:asciiTheme="minorHAnsi" w:eastAsiaTheme="minorHAnsi" w:hAnsiTheme="minorHAnsi" w:cstheme="minorHAnsi"/>
          <w:color w:val="000000"/>
          <w:sz w:val="18"/>
          <w:szCs w:val="18"/>
        </w:rPr>
        <w:t xml:space="preserve">6. Fasciszewski T, Winter RB, Lonstein JE, Denis F, Johnson L. The surgical and medical perioperative complications of anterior spinal fusion surgery in the thoracic and lumbar spine in adults: a review of 1223 procedures. </w:t>
      </w:r>
      <w:r w:rsidRPr="00AC5204">
        <w:rPr>
          <w:rFonts w:asciiTheme="minorHAnsi" w:eastAsiaTheme="minorHAnsi" w:hAnsiTheme="minorHAnsi" w:cstheme="minorHAnsi"/>
          <w:i/>
          <w:iCs/>
          <w:color w:val="000000"/>
          <w:sz w:val="18"/>
          <w:szCs w:val="18"/>
        </w:rPr>
        <w:t xml:space="preserve">Spine </w:t>
      </w:r>
      <w:r w:rsidRPr="00AC5204">
        <w:rPr>
          <w:rFonts w:asciiTheme="minorHAnsi" w:eastAsiaTheme="minorHAnsi" w:hAnsiTheme="minorHAnsi" w:cstheme="minorHAnsi"/>
          <w:color w:val="000000"/>
          <w:sz w:val="18"/>
          <w:szCs w:val="18"/>
        </w:rPr>
        <w:t xml:space="preserve">1995; 14: 1592–1599. </w:t>
      </w:r>
    </w:p>
    <w:p w:rsidR="00AC5204" w:rsidRPr="00AC5204" w:rsidRDefault="00AC5204" w:rsidP="00AC5204">
      <w:pPr>
        <w:widowControl/>
        <w:autoSpaceDE w:val="0"/>
        <w:autoSpaceDN w:val="0"/>
        <w:adjustRightInd w:val="0"/>
        <w:spacing w:line="281" w:lineRule="auto"/>
        <w:rPr>
          <w:rFonts w:asciiTheme="minorHAnsi" w:eastAsiaTheme="minorHAnsi" w:hAnsiTheme="minorHAnsi" w:cstheme="minorHAnsi"/>
          <w:color w:val="000000"/>
          <w:sz w:val="18"/>
          <w:szCs w:val="18"/>
        </w:rPr>
      </w:pPr>
      <w:r w:rsidRPr="00AC5204">
        <w:rPr>
          <w:rFonts w:asciiTheme="minorHAnsi" w:eastAsiaTheme="minorHAnsi" w:hAnsiTheme="minorHAnsi" w:cstheme="minorHAnsi"/>
          <w:color w:val="000000"/>
          <w:sz w:val="18"/>
          <w:szCs w:val="18"/>
        </w:rPr>
        <w:lastRenderedPageBreak/>
        <w:t xml:space="preserve">7. Hodge WA, DeWald RL. Splenic injury complicating the anterior thoracoabdominal surgical approach for scoliosis. </w:t>
      </w:r>
      <w:r w:rsidRPr="00AC5204">
        <w:rPr>
          <w:rFonts w:asciiTheme="minorHAnsi" w:eastAsiaTheme="minorHAnsi" w:hAnsiTheme="minorHAnsi" w:cstheme="minorHAnsi"/>
          <w:i/>
          <w:iCs/>
          <w:color w:val="000000"/>
          <w:sz w:val="18"/>
          <w:szCs w:val="18"/>
        </w:rPr>
        <w:t xml:space="preserve">J Bone Joint Surg Am </w:t>
      </w:r>
      <w:r w:rsidRPr="00AC5204">
        <w:rPr>
          <w:rFonts w:asciiTheme="minorHAnsi" w:eastAsiaTheme="minorHAnsi" w:hAnsiTheme="minorHAnsi" w:cstheme="minorHAnsi"/>
          <w:color w:val="000000"/>
          <w:sz w:val="18"/>
          <w:szCs w:val="18"/>
        </w:rPr>
        <w:lastRenderedPageBreak/>
        <w:t>1983;65-A:396–7.</w:t>
      </w:r>
    </w:p>
    <w:p w:rsidR="00AE3E37" w:rsidRPr="00AC5204" w:rsidRDefault="00AE3E37" w:rsidP="00AC5204">
      <w:pPr>
        <w:spacing w:line="281" w:lineRule="auto"/>
        <w:jc w:val="both"/>
        <w:rPr>
          <w:rFonts w:asciiTheme="minorHAnsi" w:hAnsiTheme="minorHAnsi" w:cstheme="minorHAnsi"/>
          <w:sz w:val="18"/>
          <w:szCs w:val="18"/>
        </w:rPr>
        <w:sectPr w:rsidR="00AE3E37" w:rsidRPr="00AC5204">
          <w:type w:val="continuous"/>
          <w:pgSz w:w="11910" w:h="16840"/>
          <w:pgMar w:top="1740" w:right="600" w:bottom="840" w:left="620" w:header="720" w:footer="720" w:gutter="0"/>
          <w:cols w:num="2" w:space="720" w:equalWidth="0">
            <w:col w:w="5214" w:space="138"/>
            <w:col w:w="5338"/>
          </w:cols>
        </w:sectPr>
      </w:pPr>
    </w:p>
    <w:p w:rsidR="00AE3E37" w:rsidRPr="00AC5204" w:rsidRDefault="00AE3E37" w:rsidP="00AC5204">
      <w:pPr>
        <w:pStyle w:val="a3"/>
        <w:spacing w:line="281" w:lineRule="auto"/>
        <w:rPr>
          <w:rFonts w:asciiTheme="minorHAnsi" w:hAnsiTheme="minorHAnsi" w:cstheme="minorHAnsi"/>
        </w:rPr>
      </w:pPr>
    </w:p>
    <w:p w:rsidR="00AE3E37" w:rsidRPr="00AC5204" w:rsidRDefault="00E109E5" w:rsidP="00AC5204">
      <w:pPr>
        <w:pStyle w:val="a3"/>
        <w:spacing w:line="281" w:lineRule="auto"/>
        <w:ind w:left="2202"/>
        <w:rPr>
          <w:rFonts w:asciiTheme="minorHAnsi" w:hAnsiTheme="minorHAnsi" w:cstheme="minorHAnsi"/>
        </w:rPr>
      </w:pPr>
      <w:r w:rsidRPr="00AC5204">
        <w:rPr>
          <w:rFonts w:asciiTheme="minorHAnsi" w:hAnsiTheme="minorHAnsi" w:cstheme="minorHAnsi"/>
          <w:noProof/>
          <w:lang w:val="en-IN" w:eastAsia="en-IN"/>
        </w:rPr>
      </w:r>
      <w:r w:rsidRPr="00AC5204">
        <w:rPr>
          <w:rFonts w:asciiTheme="minorHAnsi" w:hAnsiTheme="minorHAnsi" w:cstheme="minorHAnsi"/>
          <w:noProof/>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A126D8" w:rsidRDefault="00EB1A6B" w:rsidP="00A126D8">
      <w:pPr>
        <w:spacing w:before="92"/>
        <w:ind w:right="4234"/>
        <w:jc w:val="center"/>
        <w:rPr>
          <w:noProof/>
        </w:rPr>
      </w:pPr>
      <w:r>
        <w:rPr>
          <w:noProof/>
        </w:rPr>
        <w:t xml:space="preserve">                                                               </w:t>
      </w:r>
      <w:r>
        <w:rPr>
          <w:noProof/>
        </w:rPr>
        <w:drawing>
          <wp:inline distT="0" distB="0" distL="0" distR="0">
            <wp:extent cx="775633" cy="1080000"/>
            <wp:effectExtent l="19050" t="0" r="5417" b="0"/>
            <wp:docPr id="8" name="Рисунок 8" descr="C:\Users\user\AppData\Local\Microsoft\Windows\Temporary Internet Files\Content.Word\foto 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Temporary Internet Files\Content.Word\foto man.jpg"/>
                    <pic:cNvPicPr>
                      <a:picLocks noChangeAspect="1" noChangeArrowheads="1"/>
                    </pic:cNvPicPr>
                  </pic:nvPicPr>
                  <pic:blipFill>
                    <a:blip r:embed="rId9" cstate="print"/>
                    <a:srcRect/>
                    <a:stretch>
                      <a:fillRect/>
                    </a:stretch>
                  </pic:blipFill>
                  <pic:spPr bwMode="auto">
                    <a:xfrm>
                      <a:off x="0" y="0"/>
                      <a:ext cx="775633" cy="1080000"/>
                    </a:xfrm>
                    <a:prstGeom prst="rect">
                      <a:avLst/>
                    </a:prstGeom>
                    <a:noFill/>
                    <a:ln w="9525">
                      <a:noFill/>
                      <a:miter lim="800000"/>
                      <a:headEnd/>
                      <a:tailEnd/>
                    </a:ln>
                  </pic:spPr>
                </pic:pic>
              </a:graphicData>
            </a:graphic>
          </wp:inline>
        </w:drawing>
      </w:r>
      <w:r>
        <w:rPr>
          <w:noProof/>
        </w:rPr>
        <w:t xml:space="preserve"> </w:t>
      </w:r>
    </w:p>
    <w:p w:rsidR="00A126D8" w:rsidRDefault="00EB1A6B" w:rsidP="00A126D8">
      <w:pPr>
        <w:spacing w:before="92"/>
        <w:ind w:right="4234"/>
        <w:rPr>
          <w:rFonts w:ascii="Arial"/>
          <w:color w:val="BF5A14"/>
        </w:rPr>
      </w:pPr>
      <w:r>
        <w:rPr>
          <w:rFonts w:ascii="Arial"/>
          <w:color w:val="BF5A14"/>
        </w:rPr>
        <w:t xml:space="preserve">      </w:t>
      </w:r>
    </w:p>
    <w:p w:rsidR="00A126D8" w:rsidRDefault="00A126D8" w:rsidP="00A126D8">
      <w:pPr>
        <w:spacing w:before="92"/>
        <w:ind w:right="4234"/>
        <w:rPr>
          <w:rFonts w:ascii="Arial"/>
          <w:color w:val="BF5A14"/>
        </w:rPr>
      </w:pPr>
    </w:p>
    <w:p w:rsidR="00A126D8" w:rsidRDefault="00A126D8" w:rsidP="00A126D8">
      <w:pPr>
        <w:spacing w:before="92"/>
        <w:ind w:right="4234"/>
        <w:rPr>
          <w:rFonts w:ascii="Arial"/>
          <w:color w:val="BF5A14"/>
        </w:rPr>
      </w:pPr>
    </w:p>
    <w:p w:rsidR="00A126D8" w:rsidRPr="00A126D8" w:rsidRDefault="00A126D8" w:rsidP="00A126D8">
      <w:pPr>
        <w:spacing w:before="92"/>
        <w:ind w:right="4234" w:firstLine="4253"/>
        <w:rPr>
          <w:rFonts w:ascii="Arial"/>
          <w:b/>
          <w:color w:val="000000" w:themeColor="text1"/>
          <w:sz w:val="20"/>
          <w:szCs w:val="20"/>
        </w:rPr>
      </w:pPr>
      <w:r w:rsidRPr="00A126D8">
        <w:rPr>
          <w:rFonts w:ascii="Arial"/>
          <w:b/>
          <w:color w:val="000000" w:themeColor="text1"/>
          <w:sz w:val="20"/>
          <w:szCs w:val="20"/>
        </w:rPr>
        <w:t>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EB1A6B" w:rsidRPr="00BB0BD6" w:rsidRDefault="00EB1A6B" w:rsidP="00EB1A6B">
      <w:pPr>
        <w:spacing w:line="240" w:lineRule="exact"/>
        <w:ind w:firstLine="709"/>
        <w:jc w:val="both"/>
      </w:pPr>
      <w:r w:rsidRPr="00BB0BD6">
        <w:t>CALILOV Togrul Yashar was born in Baku city, on May 30, 1981. He finished higher school in 1988 with distinguished certificate and at the same year, he admitted to the Faculty of “Treatment  Prevention” of Azerbaijan Medical Institute. He graduated the Institute in 2004 with distinguished diploma and passed the internship at the Scientific Research Institute of Orthopedics and Traumotology of Azerbaijan in 2005. He defended dissertation of PhD on the topic of “Surgical treatment of scoliosis with distracting and frontal extending endocorrectors” on March 18, 2015. CALILOV T.Y. showed himself as skillful and careful doctor during his activity. He is the author of 59 scientific articles, 5 effective</w:t>
      </w:r>
      <w:r>
        <w:t xml:space="preserve"> proposal, 5 invention patents. Now </w:t>
      </w:r>
      <w:r w:rsidRPr="0089258F">
        <w:rPr>
          <w:szCs w:val="18"/>
        </w:rPr>
        <w:t>continued his research in</w:t>
      </w:r>
      <w:r>
        <w:rPr>
          <w:szCs w:val="18"/>
        </w:rPr>
        <w:t xml:space="preserve"> Innovation in operative treatment of adolescent idiopathic scoliosis to achive a Doctor of Science degree. He made over 100 operations in  patients with severe form of adolescent idiopathic scoliosis. </w:t>
      </w:r>
    </w:p>
    <w:p w:rsidR="00AE3E37" w:rsidRDefault="00A9710C">
      <w:pPr>
        <w:spacing w:before="62"/>
        <w:ind w:left="4217" w:right="4235"/>
        <w:jc w:val="center"/>
        <w:rPr>
          <w:rFonts w:ascii="Arial"/>
          <w:sz w:val="14"/>
        </w:rPr>
      </w:pPr>
      <w:r>
        <w:rPr>
          <w:rFonts w:ascii="Arial"/>
          <w:sz w:val="14"/>
        </w:rPr>
        <w:t xml:space="preserve">Email: </w:t>
      </w:r>
      <w:r w:rsidR="00EB1A6B">
        <w:rPr>
          <w:rFonts w:ascii="Arial"/>
          <w:sz w:val="14"/>
        </w:rPr>
        <w:t>ctoqrul@yahoo.com</w:t>
      </w:r>
    </w:p>
    <w:p w:rsidR="00AE3E37" w:rsidRDefault="00E109E5">
      <w:pPr>
        <w:pStyle w:val="a3"/>
        <w:spacing w:before="2"/>
        <w:rPr>
          <w:rFonts w:ascii="Arial"/>
          <w:sz w:val="19"/>
        </w:rPr>
      </w:pPr>
      <w:r w:rsidRPr="00E109E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w:r>
    </w:p>
    <w:p w:rsidR="00AE3E37" w:rsidRDefault="00AE3E37">
      <w:pPr>
        <w:pStyle w:val="a3"/>
        <w:rPr>
          <w:rFonts w:ascii="Arial"/>
          <w:sz w:val="20"/>
        </w:rPr>
      </w:pPr>
    </w:p>
    <w:p w:rsidR="00B31823" w:rsidRDefault="00B31823">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1" w:name="_GoBack"/>
      <w:bookmarkEnd w:id="1"/>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882" w:rsidRDefault="00FA6882">
      <w:r>
        <w:separator/>
      </w:r>
    </w:p>
  </w:endnote>
  <w:endnote w:type="continuationSeparator" w:id="0">
    <w:p w:rsidR="00FA6882" w:rsidRDefault="00FA68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altName w:val="Segoe UI"/>
    <w:panose1 w:val="020B0502040204020203"/>
    <w:charset w:val="CC"/>
    <w:family w:val="swiss"/>
    <w:pitch w:val="variable"/>
    <w:sig w:usb0="E10022FF" w:usb1="C000E47F" w:usb2="00000029" w:usb3="00000000" w:csb0="000001DF" w:csb1="00000000"/>
  </w:font>
  <w:font w:name="Adobe Caslon Pro">
    <w:altName w:val="Adobe Caslon Pro"/>
    <w:panose1 w:val="00000000000000000000"/>
    <w:charset w:val="00"/>
    <w:family w:val="roman"/>
    <w:notTrueType/>
    <w:pitch w:val="variable"/>
    <w:sig w:usb0="800000AF" w:usb1="5000205B" w:usb2="00000000" w:usb3="00000000" w:csb0="0000009B"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109E5">
    <w:pPr>
      <w:pStyle w:val="a3"/>
      <w:spacing w:line="14" w:lineRule="auto"/>
      <w:rPr>
        <w:sz w:val="20"/>
      </w:rPr>
    </w:pPr>
    <w:r w:rsidRPr="00E109E5">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109E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882" w:rsidRDefault="00FA6882">
      <w:r>
        <w:separator/>
      </w:r>
    </w:p>
  </w:footnote>
  <w:footnote w:type="continuationSeparator" w:id="0">
    <w:p w:rsidR="00FA6882" w:rsidRDefault="00FA68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579E6">
    <w:pPr>
      <w:pStyle w:val="a3"/>
      <w:spacing w:line="14" w:lineRule="auto"/>
      <w:rPr>
        <w:sz w:val="20"/>
      </w:rPr>
    </w:pPr>
    <w:r>
      <w:rPr>
        <w:noProof/>
        <w:sz w:val="20"/>
      </w:rPr>
      <w:drawing>
        <wp:anchor distT="0" distB="0" distL="114300" distR="114300" simplePos="0" relativeHeight="503313000" behindDoc="0" locked="0" layoutInCell="1" allowOverlap="1">
          <wp:simplePos x="0" y="0"/>
          <wp:positionH relativeFrom="margin">
            <wp:align>center</wp:align>
          </wp:positionH>
          <wp:positionV relativeFrom="paragraph">
            <wp:posOffset>-133985</wp:posOffset>
          </wp:positionV>
          <wp:extent cx="6788150" cy="881380"/>
          <wp:effectExtent l="0" t="0" r="0" b="0"/>
          <wp:wrapThrough wrapText="bothSides">
            <wp:wrapPolygon edited="0">
              <wp:start x="0" y="0"/>
              <wp:lineTo x="0" y="21009"/>
              <wp:lineTo x="21519" y="21009"/>
              <wp:lineTo x="2151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5th World Congress.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788150" cy="88138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579E6"/>
    <w:rsid w:val="00082E46"/>
    <w:rsid w:val="000E2911"/>
    <w:rsid w:val="00125E6E"/>
    <w:rsid w:val="001263DF"/>
    <w:rsid w:val="001D105D"/>
    <w:rsid w:val="001E763C"/>
    <w:rsid w:val="0023080E"/>
    <w:rsid w:val="00255F0C"/>
    <w:rsid w:val="00292ED9"/>
    <w:rsid w:val="002A43AB"/>
    <w:rsid w:val="00314AFB"/>
    <w:rsid w:val="003B76D9"/>
    <w:rsid w:val="00404E5B"/>
    <w:rsid w:val="00414F7B"/>
    <w:rsid w:val="004355DC"/>
    <w:rsid w:val="004749B4"/>
    <w:rsid w:val="00494130"/>
    <w:rsid w:val="004F3523"/>
    <w:rsid w:val="005526D6"/>
    <w:rsid w:val="00593E8C"/>
    <w:rsid w:val="005973B9"/>
    <w:rsid w:val="005B3A56"/>
    <w:rsid w:val="006060CE"/>
    <w:rsid w:val="0063497F"/>
    <w:rsid w:val="00692DFB"/>
    <w:rsid w:val="00733CCC"/>
    <w:rsid w:val="0078738A"/>
    <w:rsid w:val="00873DF0"/>
    <w:rsid w:val="008756E6"/>
    <w:rsid w:val="00903D0A"/>
    <w:rsid w:val="009B2D44"/>
    <w:rsid w:val="009C1181"/>
    <w:rsid w:val="00A07E82"/>
    <w:rsid w:val="00A126D8"/>
    <w:rsid w:val="00A64D0E"/>
    <w:rsid w:val="00A9710C"/>
    <w:rsid w:val="00AC5204"/>
    <w:rsid w:val="00AE1F2A"/>
    <w:rsid w:val="00AE3E37"/>
    <w:rsid w:val="00B21A57"/>
    <w:rsid w:val="00B31823"/>
    <w:rsid w:val="00C33602"/>
    <w:rsid w:val="00CA4143"/>
    <w:rsid w:val="00CD6F55"/>
    <w:rsid w:val="00D604EE"/>
    <w:rsid w:val="00D62425"/>
    <w:rsid w:val="00DE3104"/>
    <w:rsid w:val="00E109E5"/>
    <w:rsid w:val="00EB1A6B"/>
    <w:rsid w:val="00ED4E1F"/>
    <w:rsid w:val="00F72EEA"/>
    <w:rsid w:val="00F8136A"/>
    <w:rsid w:val="00F84CAE"/>
    <w:rsid w:val="00FA6882"/>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customStyle="1" w:styleId="WW-">
    <w:name w:val="WW-???????"/>
    <w:uiPriority w:val="99"/>
    <w:rsid w:val="0023080E"/>
    <w:pPr>
      <w:autoSpaceDE w:val="0"/>
      <w:autoSpaceDN w:val="0"/>
      <w:adjustRightInd w:val="0"/>
      <w:spacing w:after="200" w:line="276" w:lineRule="auto"/>
    </w:pPr>
    <w:rPr>
      <w:rFonts w:ascii="Calibri" w:eastAsiaTheme="minorEastAsia" w:hAnsi="Calibri" w:cs="Calibri"/>
      <w:lang w:bidi="hi-IN"/>
    </w:rPr>
  </w:style>
  <w:style w:type="paragraph" w:customStyle="1" w:styleId="Saptanm">
    <w:name w:val="Saptanmış"/>
    <w:rsid w:val="0023080E"/>
    <w:pPr>
      <w:widowControl/>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Neue" w:eastAsia="Arial Unicode MS" w:hAnsi="Helvetica Neue" w:cs="Arial Unicode MS"/>
      <w:color w:val="000000"/>
    </w:rPr>
  </w:style>
  <w:style w:type="paragraph" w:customStyle="1" w:styleId="Default">
    <w:name w:val="Default"/>
    <w:rsid w:val="00AC5204"/>
    <w:pPr>
      <w:widowControl/>
      <w:autoSpaceDE w:val="0"/>
      <w:autoSpaceDN w:val="0"/>
      <w:adjustRightInd w:val="0"/>
    </w:pPr>
    <w:rPr>
      <w:rFonts w:ascii="Segoe UI" w:hAnsi="Segoe UI" w:cs="Segoe UI"/>
      <w:color w:val="000000"/>
      <w:sz w:val="24"/>
      <w:szCs w:val="24"/>
    </w:rPr>
  </w:style>
  <w:style w:type="paragraph" w:customStyle="1" w:styleId="Pa19">
    <w:name w:val="Pa19"/>
    <w:basedOn w:val="Default"/>
    <w:next w:val="Default"/>
    <w:uiPriority w:val="99"/>
    <w:rsid w:val="00AC5204"/>
    <w:pPr>
      <w:spacing w:line="201" w:lineRule="atLeast"/>
    </w:pPr>
    <w:rPr>
      <w:color w:val="auto"/>
    </w:rPr>
  </w:style>
  <w:style w:type="character" w:customStyle="1" w:styleId="A00">
    <w:name w:val="A0"/>
    <w:uiPriority w:val="99"/>
    <w:rsid w:val="00AC5204"/>
    <w:rPr>
      <w:color w:val="000000"/>
      <w:sz w:val="18"/>
      <w:szCs w:val="18"/>
    </w:rPr>
  </w:style>
  <w:style w:type="paragraph" w:customStyle="1" w:styleId="Pa20">
    <w:name w:val="Pa20"/>
    <w:basedOn w:val="Default"/>
    <w:next w:val="Default"/>
    <w:uiPriority w:val="99"/>
    <w:rsid w:val="00AC5204"/>
    <w:pPr>
      <w:spacing w:line="201" w:lineRule="atLeast"/>
    </w:pPr>
    <w:rPr>
      <w:color w:val="auto"/>
    </w:rPr>
  </w:style>
  <w:style w:type="paragraph" w:customStyle="1" w:styleId="Pa21">
    <w:name w:val="Pa21"/>
    <w:basedOn w:val="Default"/>
    <w:next w:val="Default"/>
    <w:uiPriority w:val="99"/>
    <w:rsid w:val="00AC5204"/>
    <w:pPr>
      <w:spacing w:line="221" w:lineRule="atLeast"/>
    </w:pPr>
    <w:rPr>
      <w:color w:val="auto"/>
    </w:rPr>
  </w:style>
  <w:style w:type="character" w:customStyle="1" w:styleId="A90">
    <w:name w:val="A9"/>
    <w:uiPriority w:val="99"/>
    <w:rsid w:val="00AC5204"/>
    <w:rPr>
      <w:rFonts w:cs="Adobe Caslon Pro"/>
      <w:color w:val="000000"/>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4184</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2001-12-31T20:48:00Z</dcterms:created>
  <dcterms:modified xsi:type="dcterms:W3CDTF">2001-12-31T20:48:00Z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