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04A2" w:rsidRPr="00A804A2" w:rsidRDefault="00A804A2" w:rsidP="00A804A2">
      <w:pPr>
        <w:rPr>
          <w:rFonts w:cs="Arial"/>
          <w:b/>
          <w:sz w:val="32"/>
          <w:szCs w:val="20"/>
        </w:rPr>
      </w:pPr>
      <w:r w:rsidRPr="00A804A2">
        <w:rPr>
          <w:rFonts w:cs="Arial"/>
          <w:b/>
          <w:color w:val="333333"/>
          <w:sz w:val="20"/>
          <w:szCs w:val="12"/>
          <w:shd w:val="clear" w:color="auto" w:fill="FFFFFF"/>
        </w:rPr>
        <w:t>Do intra-operative neurophysiological changes predict functional outcome following decompressive surgery  for cervical myeloradiculopathy?A prospective study</w:t>
      </w:r>
    </w:p>
    <w:p w:rsidR="00A804A2" w:rsidRDefault="00A804A2" w:rsidP="00A804A2">
      <w:pPr>
        <w:autoSpaceDE w:val="0"/>
        <w:autoSpaceDN w:val="0"/>
        <w:adjustRightInd w:val="0"/>
        <w:rPr>
          <w:rFonts w:ascii="Arial" w:eastAsia="Times New Roman" w:hAnsi="Arial" w:cs="Arial"/>
          <w:b/>
          <w:sz w:val="20"/>
          <w:szCs w:val="20"/>
        </w:rPr>
      </w:pPr>
    </w:p>
    <w:p w:rsidR="005973B9" w:rsidRDefault="002B58D1" w:rsidP="002B58D1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DR KEYUR K AKBARI, MS ORTHOPEDICS, APOLLO HOSPITALS, CHENNAI</w:t>
      </w:r>
    </w:p>
    <w:p w:rsidR="002B58D1" w:rsidRDefault="002B58D1" w:rsidP="002B58D1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DR SAJAN K HEGDE, MS ORTHOPEDICS, APOLLO HOSPITALS, CHENNAI</w:t>
      </w:r>
    </w:p>
    <w:p w:rsidR="002B58D1" w:rsidRDefault="002B58D1" w:rsidP="002B58D1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DR MURALIDHARAN VENKATESAN, MCH ORTHO, APOLLO HOSPITALS ,CHENNAI</w:t>
      </w:r>
    </w:p>
    <w:p w:rsidR="00D53F84" w:rsidRDefault="00D53F84" w:rsidP="002B58D1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DR VIGNESH, MS ORTHOPEDICS, APOLLO HOSPITALS,CHENNAI</w:t>
      </w:r>
    </w:p>
    <w:p w:rsidR="002B58D1" w:rsidRDefault="002B58D1" w:rsidP="002B58D1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:rsidR="00A804A2" w:rsidRPr="00A804A2" w:rsidRDefault="00B61284" w:rsidP="00A804A2">
      <w:pPr>
        <w:rPr>
          <w:rFonts w:cs="Arial"/>
          <w:sz w:val="20"/>
          <w:szCs w:val="20"/>
        </w:rPr>
      </w:pPr>
      <w:r>
        <w:t>Aim</w:t>
      </w:r>
      <w:r w:rsidR="0073040D">
        <w:t>:</w:t>
      </w:r>
      <w:r w:rsidR="00B45CC1" w:rsidRPr="00B45CC1">
        <w:rPr>
          <w:rFonts w:ascii="Arial" w:hAnsi="Arial" w:cs="Arial"/>
          <w:b/>
          <w:sz w:val="20"/>
          <w:szCs w:val="20"/>
        </w:rPr>
        <w:t xml:space="preserve"> </w:t>
      </w:r>
      <w:r w:rsidR="00B45CC1" w:rsidRPr="00185DA7">
        <w:rPr>
          <w:rFonts w:ascii="Arial" w:hAnsi="Arial" w:cs="Arial"/>
          <w:b/>
          <w:sz w:val="20"/>
          <w:szCs w:val="20"/>
        </w:rPr>
        <w:t>:</w:t>
      </w:r>
      <w:r w:rsidR="00A804A2" w:rsidRPr="00A804A2">
        <w:rPr>
          <w:rFonts w:cs="Arial"/>
          <w:sz w:val="20"/>
          <w:szCs w:val="20"/>
        </w:rPr>
        <w:t>The primary objective of the present study was to investigate whether I</w:t>
      </w:r>
      <w:r w:rsidR="00A804A2">
        <w:rPr>
          <w:rFonts w:cs="Arial"/>
          <w:sz w:val="20"/>
          <w:szCs w:val="20"/>
        </w:rPr>
        <w:t xml:space="preserve">ntra </w:t>
      </w:r>
      <w:r w:rsidR="00A804A2" w:rsidRPr="00A804A2">
        <w:rPr>
          <w:rFonts w:cs="Arial"/>
          <w:sz w:val="20"/>
          <w:szCs w:val="20"/>
        </w:rPr>
        <w:t>O</w:t>
      </w:r>
      <w:r w:rsidR="00A804A2">
        <w:rPr>
          <w:rFonts w:cs="Arial"/>
          <w:sz w:val="20"/>
          <w:szCs w:val="20"/>
        </w:rPr>
        <w:t xml:space="preserve">perative </w:t>
      </w:r>
      <w:r w:rsidR="00A804A2" w:rsidRPr="00A804A2">
        <w:rPr>
          <w:rFonts w:cs="Arial"/>
          <w:sz w:val="20"/>
          <w:szCs w:val="20"/>
        </w:rPr>
        <w:t>N</w:t>
      </w:r>
      <w:r w:rsidR="00A804A2">
        <w:rPr>
          <w:rFonts w:cs="Arial"/>
          <w:sz w:val="20"/>
          <w:szCs w:val="20"/>
        </w:rPr>
        <w:t>euromonitoring (IONM)</w:t>
      </w:r>
      <w:r w:rsidR="00A804A2" w:rsidRPr="00A804A2">
        <w:rPr>
          <w:rFonts w:cs="Arial"/>
          <w:sz w:val="20"/>
          <w:szCs w:val="20"/>
        </w:rPr>
        <w:t xml:space="preserve"> positive changes can predict functional outcome after surgical intervention for cervical myeloradiculopathy.</w:t>
      </w:r>
    </w:p>
    <w:p w:rsidR="00A804A2" w:rsidRPr="00A804A2" w:rsidRDefault="00A804A2" w:rsidP="00A804A2">
      <w:pPr>
        <w:rPr>
          <w:rFonts w:cs="Arial"/>
          <w:sz w:val="20"/>
          <w:szCs w:val="20"/>
        </w:rPr>
      </w:pPr>
    </w:p>
    <w:p w:rsidR="00A804A2" w:rsidRDefault="00A804A2" w:rsidP="003633A7">
      <w:pPr>
        <w:rPr>
          <w:rFonts w:ascii="Arial" w:hAnsi="Arial" w:cs="Arial"/>
          <w:sz w:val="20"/>
          <w:szCs w:val="20"/>
        </w:rPr>
      </w:pPr>
    </w:p>
    <w:p w:rsidR="002B58D1" w:rsidRPr="00761027" w:rsidRDefault="00A9710C" w:rsidP="003633A7">
      <w:pPr>
        <w:rPr>
          <w:sz w:val="20"/>
        </w:rPr>
      </w:pPr>
      <w:r>
        <w:t>Methodolog</w:t>
      </w:r>
      <w:r w:rsidR="0078738A">
        <w:t>y:</w:t>
      </w:r>
      <w:r w:rsidR="00A804A2" w:rsidRPr="00761027">
        <w:rPr>
          <w:sz w:val="20"/>
        </w:rPr>
        <w:t>Patients having cervical compressive myelo-radiculopathy underwent surgery with  IONM using motor evoked potential (MEP) and somato</w:t>
      </w:r>
      <w:r w:rsidR="00111F5D">
        <w:rPr>
          <w:sz w:val="20"/>
        </w:rPr>
        <w:t>sensory evoked potential (SEP).</w:t>
      </w:r>
      <w:r w:rsidR="00A804A2" w:rsidRPr="00761027">
        <w:rPr>
          <w:sz w:val="20"/>
        </w:rPr>
        <w:t>A decrease in latency &gt;10% or an increase in amplitude &gt;50% was regarded as a “positive changes”.</w:t>
      </w:r>
    </w:p>
    <w:p w:rsidR="002B58D1" w:rsidRPr="00761027" w:rsidRDefault="0073040D" w:rsidP="002B58D1">
      <w:pPr>
        <w:rPr>
          <w:rFonts w:eastAsia="Times New Roman" w:cs="Arial"/>
          <w:sz w:val="16"/>
          <w:szCs w:val="20"/>
        </w:rPr>
      </w:pPr>
      <w:r>
        <w:t>Findings:</w:t>
      </w:r>
      <w:r w:rsidR="00A804A2" w:rsidRPr="00761027">
        <w:rPr>
          <w:sz w:val="20"/>
        </w:rPr>
        <w:t xml:space="preserve"> 28 cases</w:t>
      </w:r>
      <w:r w:rsidR="00111F5D">
        <w:rPr>
          <w:sz w:val="20"/>
        </w:rPr>
        <w:t xml:space="preserve"> were enrolled.</w:t>
      </w:r>
      <w:r w:rsidR="00A804A2" w:rsidRPr="00761027">
        <w:rPr>
          <w:sz w:val="20"/>
        </w:rPr>
        <w:t>9 cases (32.1%) showed improveme</w:t>
      </w:r>
      <w:r w:rsidR="00111F5D">
        <w:rPr>
          <w:sz w:val="20"/>
        </w:rPr>
        <w:t>nt in MEP but no change in SEP.</w:t>
      </w:r>
      <w:r w:rsidR="00A804A2" w:rsidRPr="00761027">
        <w:rPr>
          <w:sz w:val="20"/>
        </w:rPr>
        <w:t>18 cases (64.3%) demonstrated no change in MEP or SEP</w:t>
      </w:r>
      <w:r w:rsidR="00990C8A">
        <w:rPr>
          <w:sz w:val="20"/>
        </w:rPr>
        <w:t xml:space="preserve"> compared to baseline findings.</w:t>
      </w:r>
      <w:r w:rsidR="00A804A2" w:rsidRPr="00761027">
        <w:rPr>
          <w:sz w:val="20"/>
        </w:rPr>
        <w:t>Deterioration in MEP was observed in</w:t>
      </w:r>
      <w:r w:rsidR="00111F5D">
        <w:rPr>
          <w:sz w:val="20"/>
        </w:rPr>
        <w:t xml:space="preserve"> one patient (3.6%).</w:t>
      </w:r>
      <w:r w:rsidR="00A804A2" w:rsidRPr="00761027">
        <w:rPr>
          <w:sz w:val="20"/>
        </w:rPr>
        <w:t>The cohort was divided into group A (9 participants showing improvement in motor evoked potential) and group B (19 participants who showed no change in evoked potentials compared to baseline or showed deterioration in motor evoked potentials).The mean preop Nurick grade and mJOA score of group A and B were (2.55±0.83 and 11.11±1.65</w:t>
      </w:r>
      <w:r w:rsidR="00111F5D">
        <w:rPr>
          <w:sz w:val="20"/>
        </w:rPr>
        <w:t>) and (2.47±0.7 and 11.32±1.24)</w:t>
      </w:r>
      <w:r w:rsidR="00A804A2" w:rsidRPr="00761027">
        <w:rPr>
          <w:sz w:val="20"/>
        </w:rPr>
        <w:t xml:space="preserve">respectively.The mean postoperative Nurick grade of group A and B at three months was 1.8 ± 0.97 and 2.0 ± 0.67 respectively and this </w:t>
      </w:r>
      <w:r w:rsidR="00111F5D">
        <w:rPr>
          <w:sz w:val="20"/>
        </w:rPr>
        <w:t>difference was not significant.</w:t>
      </w:r>
      <w:r w:rsidR="00A804A2" w:rsidRPr="00761027">
        <w:rPr>
          <w:sz w:val="20"/>
        </w:rPr>
        <w:t xml:space="preserve">The mean postoperative Nurick grade of group A and B at six months was 1.6 ± 0.88 and 1.6 ± 0.50 respectively and this </w:t>
      </w:r>
      <w:r w:rsidR="00111F5D">
        <w:rPr>
          <w:sz w:val="20"/>
        </w:rPr>
        <w:t>difference was not significant.</w:t>
      </w:r>
      <w:r w:rsidR="00A804A2" w:rsidRPr="00761027">
        <w:rPr>
          <w:sz w:val="20"/>
        </w:rPr>
        <w:t xml:space="preserve">The mean postoperative mJOA score of group A and B at 3 months was 13.1 ± 1.76 and 12.1 ± 1.39 respectively and unpaired t test concluded that this </w:t>
      </w:r>
      <w:r w:rsidR="00111F5D">
        <w:rPr>
          <w:sz w:val="20"/>
        </w:rPr>
        <w:t>difference was not significant.</w:t>
      </w:r>
      <w:r w:rsidR="00A804A2" w:rsidRPr="00761027">
        <w:rPr>
          <w:sz w:val="20"/>
        </w:rPr>
        <w:t>The mean postoperative mJOA score of group A and B at six months was 14.3 ± 1.32 and 12.9 ± 1.29 respectively and unpaired t test concluded that this difference was significant ( p value = 0.011).</w:t>
      </w:r>
    </w:p>
    <w:p w:rsidR="00AE3E37" w:rsidRDefault="00363E84" w:rsidP="00A804A2">
      <w:pPr>
        <w:pStyle w:val="BodyText"/>
        <w:spacing w:before="90" w:line="280" w:lineRule="auto"/>
        <w:jc w:val="both"/>
        <w:rPr>
          <w:rFonts w:ascii="Minion Pro"/>
          <w:sz w:val="26"/>
        </w:rPr>
      </w:pPr>
      <w:r w:rsidRPr="00111F5D">
        <w:rPr>
          <w:sz w:val="22"/>
        </w:rPr>
        <w:t>Conclusion</w:t>
      </w:r>
      <w:r w:rsidR="00304F95" w:rsidRPr="00111F5D">
        <w:rPr>
          <w:sz w:val="22"/>
        </w:rPr>
        <w:t>:</w:t>
      </w:r>
      <w:bookmarkStart w:id="0" w:name="_GoBack"/>
      <w:bookmarkEnd w:id="0"/>
      <w:r w:rsidR="00761027" w:rsidRPr="00111F5D">
        <w:rPr>
          <w:sz w:val="20"/>
        </w:rPr>
        <w:t xml:space="preserve">Our study shows that impact of positive changes in MEP during IONM reflect in functional improvement at 6 months post-operatively </w:t>
      </w:r>
      <w:r w:rsidR="00761027" w:rsidRPr="00761027">
        <w:t>.</w:t>
      </w:r>
      <w:r w:rsidR="00922D7C" w:rsidRPr="00922D7C">
        <w:rPr>
          <w:noProof/>
          <w:lang w:val="en-IN" w:eastAsia="en-IN"/>
        </w:rPr>
        <w:pict>
          <v:line id="Line 3" o:spid="_x0000_s1028" style="position:absolute;left:0;text-align:left;z-index:1072;visibility:visible;mso-wrap-distance-left:0;mso-wrap-distance-right:0;mso-position-horizontal-relative:page;mso-position-vertical-relative:text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<w10:wrap type="topAndBottom" anchorx="page"/>
          </v:line>
        </w:pict>
      </w: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74AC0" w:rsidRDefault="00874AC0">
      <w:r>
        <w:separator/>
      </w:r>
    </w:p>
  </w:endnote>
  <w:endnote w:type="continuationSeparator" w:id="0">
    <w:p w:rsidR="00874AC0" w:rsidRDefault="00874AC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3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922D7C">
    <w:pPr>
      <w:pStyle w:val="BodyText"/>
      <w:spacing w:line="14" w:lineRule="auto"/>
      <w:rPr>
        <w:sz w:val="20"/>
      </w:rPr>
    </w:pPr>
    <w:r w:rsidRPr="00922D7C"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4099" type="#_x0000_t202" style="position:absolute;margin-left:35pt;margin-top:798.8pt;width:168.2pt;height:19.6pt;z-index:-45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<v:textbox style="mso-next-textbox:#Text Box 3" inset="0,0,0,0">
            <w:txbxContent>
              <w:p w:rsidR="00AE3E37" w:rsidRPr="005B3A56" w:rsidRDefault="00A9710C">
                <w:pPr>
                  <w:spacing w:line="184" w:lineRule="exact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 Pain Relief</w:t>
                </w:r>
              </w:p>
              <w:p w:rsidR="00AE3E37" w:rsidRPr="005B3A56" w:rsidRDefault="00A9710C">
                <w:pPr>
                  <w:spacing w:before="8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ISSN: 2167-0846 JPAR an open access journa</w:t>
                </w:r>
              </w:p>
            </w:txbxContent>
          </v:textbox>
          <w10:wrap anchorx="page" anchory="page"/>
        </v:shape>
      </w:pict>
    </w:r>
    <w:r w:rsidRPr="00922D7C">
      <w:rPr>
        <w:noProof/>
        <w:lang w:val="en-IN" w:eastAsia="en-IN"/>
      </w:rPr>
      <w:pict>
        <v:shape id="Text Box 2" o:spid="_x0000_s4098" type="#_x0000_t202" style="position:absolute;margin-left:252.1pt;margin-top:799.05pt;width:91.9pt;height:24.95pt;z-index:-45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<v:textbox style="mso-next-textbox:#Text Box 2" inset="0,0,0,0">
            <w:txbxContent>
              <w:p w:rsidR="00AE3E37" w:rsidRPr="005B3A56" w:rsidRDefault="00A9710C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:rsidR="00AE3E37" w:rsidRPr="005B3A56" w:rsidRDefault="00A9710C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 w:rsidRPr="00922D7C">
      <w:rPr>
        <w:noProof/>
        <w:lang w:val="en-IN" w:eastAsia="en-IN"/>
      </w:rPr>
      <w:pict>
        <v:shape id="Text Box 1" o:spid="_x0000_s4097" type="#_x0000_t202" style="position:absolute;margin-left:468.9pt;margin-top:798.8pt;width:91.4pt;height:26.05pt;z-index:-45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<v:textbox style="mso-next-textbox:#Text Box 1" inset="0,0,0,0">
            <w:txbxContent>
              <w:p w:rsidR="00AE3E37" w:rsidRPr="005B3A56" w:rsidRDefault="00A9710C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Volume 5, Issue 3(Suppl)</w:t>
                </w:r>
              </w:p>
              <w:p w:rsidR="00AE3E37" w:rsidRPr="005B3A56" w:rsidRDefault="00A9710C">
                <w:pPr>
                  <w:spacing w:before="116"/>
                  <w:ind w:right="18"/>
                  <w:jc w:val="right"/>
                  <w:rPr>
                    <w:rFonts w:ascii="Minion Pro"/>
                    <w:color w:val="FFFFFF" w:themeColor="background1"/>
                    <w:sz w:val="16"/>
                  </w:rPr>
                </w:pPr>
                <w:r w:rsidRPr="005B3A56">
                  <w:rPr>
                    <w:rFonts w:ascii="Minion Pro"/>
                    <w:color w:val="FFFFFF" w:themeColor="background1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74AC0" w:rsidRDefault="00874AC0">
      <w:r>
        <w:separator/>
      </w:r>
    </w:p>
  </w:footnote>
  <w:footnote w:type="continuationSeparator" w:id="0">
    <w:p w:rsidR="00874AC0" w:rsidRDefault="00874AC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922D7C">
    <w:pPr>
      <w:pStyle w:val="BodyText"/>
      <w:spacing w:line="14" w:lineRule="auto"/>
      <w:rPr>
        <w:sz w:val="20"/>
      </w:rPr>
    </w:pPr>
    <w:r w:rsidRPr="00922D7C"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4101" type="#_x0000_t202" style="position:absolute;margin-left:416pt;margin-top:26.05pt;width:144.3pt;height:17.4pt;z-index:-46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<v:textbox style="mso-next-textbox:#Text Box 5" inset="0,0,0,0">
            <w:txbxContent>
              <w:p w:rsidR="00AE3E37" w:rsidRPr="005B3A56" w:rsidRDefault="00A9710C">
                <w:pPr>
                  <w:spacing w:before="2" w:line="249" w:lineRule="auto"/>
                  <w:ind w:left="156" w:right="18" w:hanging="137"/>
                  <w:rPr>
                    <w:rFonts w:ascii="Arial"/>
                    <w:color w:val="FFFFFF" w:themeColor="background1"/>
                    <w:sz w:val="14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T Furuta et al., J Pai n Relief 2016, 5:3(Suppl) </w:t>
                </w:r>
                <w:hyperlink r:id="rId1">
                  <w:r w:rsidRPr="005B3A56">
                    <w:rPr>
                      <w:rFonts w:ascii="Arial"/>
                      <w:color w:val="FFFFFF" w:themeColor="background1"/>
                      <w:sz w:val="14"/>
                    </w:rPr>
                    <w:t>http://dx.doi.org/10.4172/2167-0846.C1.006</w:t>
                  </w:r>
                </w:hyperlink>
              </w:p>
            </w:txbxContent>
          </v:textbox>
          <w10:wrap anchorx="page" anchory="page"/>
        </v:shape>
      </w:pict>
    </w:r>
    <w:r w:rsidRPr="00922D7C">
      <w:rPr>
        <w:noProof/>
        <w:lang w:val="en-IN" w:eastAsia="en-IN"/>
      </w:rPr>
      <w:pict>
        <v:shape id="Text Box 4" o:spid="_x0000_s4100" type="#_x0000_t202" style="position:absolute;margin-left:35pt;margin-top:48.3pt;width:515.95pt;height:40.1pt;z-index:-457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<v:textbox style="mso-next-textbox:#Text Box 4" inset="0,0,0,0">
            <w:txbxContent>
              <w:p w:rsidR="00AE3E37" w:rsidRPr="005B3A56" w:rsidRDefault="00A9710C">
                <w:pPr>
                  <w:pStyle w:val="BodyText"/>
                  <w:spacing w:line="187" w:lineRule="exact"/>
                  <w:ind w:left="20" w:right="-10"/>
                  <w:rPr>
                    <w:rFonts w:ascii="Myriad Pro"/>
                    <w:color w:val="FFFFFF" w:themeColor="background1"/>
                  </w:rPr>
                </w:pPr>
                <w:r w:rsidRPr="005B3A56">
                  <w:rPr>
                    <w:rFonts w:ascii="Myriad Pro"/>
                    <w:color w:val="FFFFFF" w:themeColor="background1"/>
                  </w:rPr>
                  <w:t>International Conference on</w:t>
                </w:r>
              </w:p>
              <w:p w:rsidR="00AE3E37" w:rsidRPr="005B3A56" w:rsidRDefault="00A9710C">
                <w:pPr>
                  <w:spacing w:line="614" w:lineRule="exact"/>
                  <w:ind w:left="20" w:right="-10"/>
                  <w:rPr>
                    <w:rFonts w:ascii="Minion Pro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52"/>
                  </w:rPr>
                  <w:t xml:space="preserve">Fibromyalgia and Chronic Pain </w:t>
                </w:r>
                <w:r w:rsidRPr="005B3A56">
                  <w:rPr>
                    <w:rFonts w:ascii="Minion Pro"/>
                    <w:color w:val="FFFFFF" w:themeColor="background1"/>
                    <w:sz w:val="24"/>
                  </w:rPr>
                  <w:t>(June 15-16, 2016   Philadelphia, USA)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20"/>
  <w:drawingGridHorizontalSpacing w:val="110"/>
  <w:displayHorizontalDrawingGridEvery w:val="2"/>
  <w:characterSpacingControl w:val="doNotCompress"/>
  <w:hdrShapeDefaults>
    <o:shapedefaults v:ext="edit" spidmax="11266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AE3E37"/>
    <w:rsid w:val="000E2911"/>
    <w:rsid w:val="00111F5D"/>
    <w:rsid w:val="00112BC2"/>
    <w:rsid w:val="001263DF"/>
    <w:rsid w:val="001B64A9"/>
    <w:rsid w:val="001E3A30"/>
    <w:rsid w:val="001E763C"/>
    <w:rsid w:val="002078FD"/>
    <w:rsid w:val="00292ED9"/>
    <w:rsid w:val="002B58D1"/>
    <w:rsid w:val="00304F95"/>
    <w:rsid w:val="00314AFB"/>
    <w:rsid w:val="003633A7"/>
    <w:rsid w:val="00363E84"/>
    <w:rsid w:val="003B76D9"/>
    <w:rsid w:val="00404E5B"/>
    <w:rsid w:val="00414F7B"/>
    <w:rsid w:val="004355DC"/>
    <w:rsid w:val="004749B4"/>
    <w:rsid w:val="00494130"/>
    <w:rsid w:val="004F3523"/>
    <w:rsid w:val="00500E19"/>
    <w:rsid w:val="005973B9"/>
    <w:rsid w:val="005B3A56"/>
    <w:rsid w:val="006060CE"/>
    <w:rsid w:val="0063497F"/>
    <w:rsid w:val="0073040D"/>
    <w:rsid w:val="007450FF"/>
    <w:rsid w:val="00761027"/>
    <w:rsid w:val="0078738A"/>
    <w:rsid w:val="008170D4"/>
    <w:rsid w:val="0085494F"/>
    <w:rsid w:val="00873DF0"/>
    <w:rsid w:val="00874AC0"/>
    <w:rsid w:val="008756E6"/>
    <w:rsid w:val="00922D7C"/>
    <w:rsid w:val="00990C8A"/>
    <w:rsid w:val="009B2D44"/>
    <w:rsid w:val="00A07E82"/>
    <w:rsid w:val="00A804A2"/>
    <w:rsid w:val="00A9710C"/>
    <w:rsid w:val="00AE3E37"/>
    <w:rsid w:val="00B21A57"/>
    <w:rsid w:val="00B45CC1"/>
    <w:rsid w:val="00B61284"/>
    <w:rsid w:val="00C33602"/>
    <w:rsid w:val="00CD6F55"/>
    <w:rsid w:val="00D53F84"/>
    <w:rsid w:val="00D62425"/>
    <w:rsid w:val="00D726A0"/>
    <w:rsid w:val="00DE3104"/>
    <w:rsid w:val="00F72EEA"/>
    <w:rsid w:val="00F75DB6"/>
    <w:rsid w:val="00F8136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352</Words>
  <Characters>2009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keyur akbari</cp:lastModifiedBy>
  <cp:revision>5</cp:revision>
  <dcterms:created xsi:type="dcterms:W3CDTF">2020-01-27T19:14:00Z</dcterms:created>
  <dcterms:modified xsi:type="dcterms:W3CDTF">2020-01-27T19:29:00Z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