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5CC1" w:rsidRPr="00B45CC1" w:rsidRDefault="00B45CC1" w:rsidP="00B45CC1">
      <w:pPr>
        <w:rPr>
          <w:rFonts w:cs="Arial"/>
          <w:b/>
          <w:sz w:val="20"/>
        </w:rPr>
      </w:pPr>
      <w:r w:rsidRPr="00B45CC1">
        <w:rPr>
          <w:rFonts w:cs="Arial"/>
          <w:b/>
          <w:sz w:val="20"/>
        </w:rPr>
        <w:t>Safety, efficacy and outcome of Anterior Vertebral Body Tethering  for Adolescent Idiopathic Scoliosis: Early results of single Asian center</w:t>
      </w:r>
    </w:p>
    <w:p w:rsidR="00B45CC1" w:rsidRPr="00B45CC1" w:rsidRDefault="00B45CC1" w:rsidP="00B45CC1">
      <w:pPr>
        <w:rPr>
          <w:rFonts w:cs="Arial"/>
          <w:sz w:val="20"/>
          <w:szCs w:val="20"/>
        </w:rPr>
      </w:pPr>
    </w:p>
    <w:p w:rsidR="005973B9" w:rsidRDefault="002B58D1" w:rsidP="002B58D1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DR KEYUR K AKBARI, MS ORTHOPEDICS, APOLLO HOSPITALS, CHENNAI</w:t>
      </w:r>
    </w:p>
    <w:p w:rsidR="002B58D1" w:rsidRDefault="002B58D1" w:rsidP="002B58D1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DR SAJAN K HEGDE, MS ORTHOPEDICS, APOLLO HOSPITALS, CHENNAI</w:t>
      </w:r>
    </w:p>
    <w:p w:rsidR="002B58D1" w:rsidRDefault="002B58D1" w:rsidP="002B58D1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DR MURALIDHARAN VENKATESAN, MCH ORTHO, APOLLO HOSPITALS ,CHENNAI</w:t>
      </w:r>
    </w:p>
    <w:p w:rsidR="00D53F84" w:rsidRDefault="00D53F84" w:rsidP="002B58D1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DR VIGNESH, MS ORTHOPEDICS, APOLLO HOSPITALS,CHENNAI</w:t>
      </w:r>
    </w:p>
    <w:p w:rsidR="002B58D1" w:rsidRDefault="002B58D1" w:rsidP="002B58D1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:rsidR="00304F95" w:rsidRPr="00304F95" w:rsidRDefault="00B61284" w:rsidP="003633A7">
      <w:pPr>
        <w:rPr>
          <w:rFonts w:cs="Arial"/>
          <w:sz w:val="20"/>
          <w:szCs w:val="20"/>
        </w:rPr>
      </w:pPr>
      <w:r>
        <w:t>Aim</w:t>
      </w:r>
      <w:r w:rsidR="0073040D">
        <w:t>:</w:t>
      </w:r>
      <w:r w:rsidR="00B45CC1" w:rsidRPr="00B45CC1">
        <w:rPr>
          <w:rFonts w:ascii="Arial" w:hAnsi="Arial" w:cs="Arial"/>
          <w:b/>
          <w:sz w:val="20"/>
          <w:szCs w:val="20"/>
        </w:rPr>
        <w:t xml:space="preserve"> </w:t>
      </w:r>
      <w:r w:rsidR="00B45CC1" w:rsidRPr="00185DA7">
        <w:rPr>
          <w:rFonts w:ascii="Arial" w:hAnsi="Arial" w:cs="Arial"/>
          <w:b/>
          <w:sz w:val="20"/>
          <w:szCs w:val="20"/>
        </w:rPr>
        <w:t>:</w:t>
      </w:r>
      <w:r w:rsidR="00B45CC1" w:rsidRPr="00F5318F">
        <w:rPr>
          <w:rFonts w:ascii="Arial" w:hAnsi="Arial" w:cs="Arial"/>
          <w:sz w:val="20"/>
          <w:szCs w:val="20"/>
        </w:rPr>
        <w:t xml:space="preserve"> </w:t>
      </w:r>
      <w:r w:rsidR="00304F95" w:rsidRPr="00304F95">
        <w:rPr>
          <w:rFonts w:cs="Arial"/>
          <w:sz w:val="20"/>
          <w:szCs w:val="20"/>
        </w:rPr>
        <w:t>The aim of our study was to evaluate the safety, efficacy and outcome of Anterior vertebral body tethering (AVBT) in patients with Adolescent idiopathic scoliosis(AIS).</w:t>
      </w:r>
    </w:p>
    <w:p w:rsidR="002B58D1" w:rsidRDefault="00A9710C" w:rsidP="003633A7">
      <w:r>
        <w:t>Methodolog</w:t>
      </w:r>
      <w:r w:rsidR="0078738A">
        <w:t>y:</w:t>
      </w:r>
      <w:r w:rsidR="00304F95" w:rsidRPr="00304F95">
        <w:t xml:space="preserve"> </w:t>
      </w:r>
      <w:r w:rsidR="00304F95" w:rsidRPr="00304F95">
        <w:rPr>
          <w:rFonts w:cs="Arial"/>
          <w:color w:val="000000" w:themeColor="text1"/>
          <w:sz w:val="20"/>
          <w:szCs w:val="20"/>
          <w:shd w:val="clear" w:color="auto" w:fill="FFFFFF"/>
        </w:rPr>
        <w:t>We prospectively studied 10 patients with AIS who were operated between 2018-19 with AVBT technique with a minimum of one year of follow up. AIS patients with   curves 40-80 degrees with flexibility 50%  were included in the study. Paired t test was used to evaluate the statistical significance of change in Cobb’s angle and SRS-22.</w:t>
      </w:r>
    </w:p>
    <w:p w:rsidR="002B58D1" w:rsidRPr="003633A7" w:rsidRDefault="0073040D" w:rsidP="002B58D1">
      <w:pPr>
        <w:rPr>
          <w:rFonts w:eastAsia="Times New Roman" w:cs="Arial"/>
          <w:sz w:val="18"/>
          <w:szCs w:val="20"/>
        </w:rPr>
      </w:pPr>
      <w:r>
        <w:t>Findings:</w:t>
      </w:r>
      <w:r w:rsidR="00304F95" w:rsidRPr="00304F95">
        <w:t xml:space="preserve"> </w:t>
      </w:r>
      <w:r w:rsidR="00304F95" w:rsidRPr="00304F95">
        <w:rPr>
          <w:sz w:val="20"/>
        </w:rPr>
        <w:t xml:space="preserve">All ten patients were female. Mean age  was 14.9 years .Mean sanders score was 7.2±0.64 and mean Riser score was 4.2±1.5 .3 patients  had MT curves  and 7 patients had TL/L major curves. Mean pre operative Cobb’s angle was 52˚ ± 11.6˚ (range: 42˚ to 80˚) . All underwent tethering with an average of  7 ± 0.9(range 6-9) levels with  upper intrumented vertebra being  D5 and lower instrumented vertebra being L4. Post op average first erect  xray showed 70.28  % correction with a mean cobbs of  15.9 ± 6.8o . Mean cobb at final follow up was </w:t>
      </w:r>
      <w:r w:rsidR="00304F95" w:rsidRPr="00304F95">
        <w:rPr>
          <w:sz w:val="20"/>
        </w:rPr>
        <w:lastRenderedPageBreak/>
        <w:t>15.3 ± 8.70 (range: 3˚ to 28˚).  There was 71.61% correction and this correction was significant (p-value &lt;0.0001 and 95% CI: 30.8 to 42.6). Average blood loss during surgery was 112 ±12.4  ml and average surgical time was 162 ± 13.2 mins .  Mean SRS-22 subtotal score pre op and post op were 3.9 ± 0.12 and 4.4 ±0.14 respectively. The change in SRS-22 score was significant (p-value &lt; 0.0001 and 95% CI: 0.3 to 0.7). No complications were noted till last follow up.</w:t>
      </w:r>
    </w:p>
    <w:p w:rsidR="002B58D1" w:rsidRPr="002B58D1" w:rsidRDefault="00363E84" w:rsidP="00304F95">
      <w:pPr>
        <w:pStyle w:val="BodyText"/>
        <w:spacing w:before="90" w:line="280" w:lineRule="auto"/>
        <w:ind w:left="100"/>
        <w:jc w:val="both"/>
        <w:rPr>
          <w:color w:val="BF5A14"/>
        </w:rPr>
      </w:pPr>
      <w:r>
        <w:rPr>
          <w:sz w:val="20"/>
        </w:rPr>
        <w:t>Conclusion</w:t>
      </w:r>
      <w:r w:rsidR="00304F95">
        <w:rPr>
          <w:sz w:val="20"/>
        </w:rPr>
        <w:t>:</w:t>
      </w:r>
      <w:r w:rsidR="00304F95" w:rsidRPr="00304F95">
        <w:t xml:space="preserve"> </w:t>
      </w:r>
      <w:r w:rsidR="00304F95" w:rsidRPr="00304F95">
        <w:rPr>
          <w:sz w:val="20"/>
        </w:rPr>
        <w:t>Our early results indicate that AVBT is  safe and potentially effective treatment option for patients with idiopathic scoliosis</w:t>
      </w:r>
      <w:r w:rsidR="00304F95">
        <w:rPr>
          <w:sz w:val="20"/>
        </w:rPr>
        <w:t>.</w:t>
      </w:r>
      <w:r w:rsidR="00304F95" w:rsidRPr="00304F95">
        <w:rPr>
          <w:sz w:val="20"/>
        </w:rPr>
        <w:t>However, longer term follow-up of this cohort will reveal the true benefits of this promising technique.</w:t>
      </w:r>
      <w:r w:rsidR="00A9710C" w:rsidRPr="002B58D1">
        <w:t xml:space="preserve"> </w:t>
      </w:r>
    </w:p>
    <w:p w:rsidR="00AE3E37" w:rsidRDefault="00AE3E37">
      <w:pPr>
        <w:pStyle w:val="Heading3"/>
        <w:spacing w:before="74"/>
      </w:pPr>
    </w:p>
    <w:p w:rsidR="00AE3E37" w:rsidRDefault="00AE3E37">
      <w:pPr>
        <w:pStyle w:val="BodyText"/>
        <w:spacing w:before="2"/>
        <w:rPr>
          <w:rFonts w:ascii="Arial"/>
          <w:b/>
          <w:sz w:val="16"/>
        </w:rPr>
      </w:pPr>
    </w:p>
    <w:p w:rsidR="005973B9" w:rsidRDefault="005973B9" w:rsidP="001E3A30">
      <w:pPr>
        <w:spacing w:line="204" w:lineRule="exact"/>
        <w:rPr>
          <w:rFonts w:ascii="Calibri" w:hAnsi="Calibri"/>
        </w:rPr>
      </w:pPr>
      <w:r>
        <w:rPr>
          <w:rFonts w:ascii="Arial"/>
          <w:b/>
          <w:color w:val="BF5A14"/>
          <w:sz w:val="20"/>
        </w:rPr>
        <w:br/>
      </w: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112BC2" w:rsidP="001E3A30">
      <w:pPr>
        <w:spacing w:before="92"/>
        <w:ind w:right="4234"/>
        <w:rPr>
          <w:rFonts w:ascii="Minion Pro"/>
          <w:sz w:val="26"/>
        </w:rPr>
      </w:pPr>
      <w:bookmarkStart w:id="0" w:name="_GoBack"/>
      <w:bookmarkEnd w:id="0"/>
      <w:r w:rsidRPr="00112BC2">
        <w:rPr>
          <w:noProof/>
          <w:sz w:val="18"/>
          <w:lang w:val="en-IN" w:eastAsia="en-IN"/>
        </w:rPr>
        <w:pict>
          <v:line id="Line 3" o:spid="_x0000_s1028" style="position:absolute;z-index:1072;visibility:visible;mso-wrap-distance-left:0;mso-wrap-distance-right:0;mso-position-horizontal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<w10:wrap type="topAndBottom" anchorx="page"/>
          </v:line>
        </w:pict>
      </w: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75DB6" w:rsidRDefault="00F75DB6">
      <w:r>
        <w:separator/>
      </w:r>
    </w:p>
  </w:endnote>
  <w:endnote w:type="continuationSeparator" w:id="0">
    <w:p w:rsidR="00F75DB6" w:rsidRDefault="00F75DB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3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112BC2">
    <w:pPr>
      <w:pStyle w:val="BodyText"/>
      <w:spacing w:line="14" w:lineRule="auto"/>
      <w:rPr>
        <w:sz w:val="20"/>
      </w:rPr>
    </w:pPr>
    <w:r w:rsidRPr="00112BC2"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4099" type="#_x0000_t202" style="position:absolute;margin-left:35pt;margin-top:798.8pt;width:168.2pt;height:19.6pt;z-index:-45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 Pain Relief</w:t>
                </w:r>
              </w:p>
              <w:p w:rsidR="00AE3E37" w:rsidRPr="005B3A56" w:rsidRDefault="00A9710C">
                <w:pPr>
                  <w:spacing w:before="8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ISSN: 2167-0846 JPAR an open access journa</w:t>
                </w:r>
              </w:p>
            </w:txbxContent>
          </v:textbox>
          <w10:wrap anchorx="page" anchory="page"/>
        </v:shape>
      </w:pict>
    </w:r>
    <w:r w:rsidRPr="00112BC2">
      <w:rPr>
        <w:noProof/>
        <w:lang w:val="en-IN" w:eastAsia="en-IN"/>
      </w:rPr>
      <w:pict>
        <v:shape id="Text Box 2" o:spid="_x0000_s4098" type="#_x0000_t202" style="position:absolute;margin-left:252.1pt;margin-top:799.05pt;width:91.9pt;height:24.95pt;z-index:-45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spacing w:line="269" w:lineRule="exact"/>
                  <w:jc w:val="center"/>
                  <w:rPr>
                    <w:rFonts w:ascii="Impact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24"/>
                  </w:rPr>
                  <w:t>Fibromyalgia 2016</w:t>
                </w:r>
              </w:p>
              <w:p w:rsidR="00AE3E37" w:rsidRPr="005B3A56" w:rsidRDefault="00A9710C">
                <w:pPr>
                  <w:spacing w:before="29"/>
                  <w:jc w:val="center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  <w:r w:rsidRPr="00112BC2">
      <w:rPr>
        <w:noProof/>
        <w:lang w:val="en-IN" w:eastAsia="en-IN"/>
      </w:rPr>
      <w:pict>
        <v:shape id="Text Box 1" o:spid="_x0000_s4097" type="#_x0000_t202" style="position:absolute;margin-left:468.9pt;margin-top:798.8pt;width:91.4pt;height:26.05pt;z-index:-45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right="18"/>
                  <w:jc w:val="right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Volume 5, Issue 3(Suppl)</w:t>
                </w:r>
              </w:p>
              <w:p w:rsidR="00AE3E37" w:rsidRPr="005B3A56" w:rsidRDefault="00A9710C">
                <w:pPr>
                  <w:spacing w:before="116"/>
                  <w:ind w:right="18"/>
                  <w:jc w:val="right"/>
                  <w:rPr>
                    <w:rFonts w:ascii="Minion Pro"/>
                    <w:color w:val="FFFFFF" w:themeColor="background1"/>
                    <w:sz w:val="16"/>
                  </w:rPr>
                </w:pPr>
                <w:r w:rsidRPr="005B3A56">
                  <w:rPr>
                    <w:rFonts w:ascii="Minion Pro"/>
                    <w:color w:val="FFFFFF" w:themeColor="background1"/>
                    <w:sz w:val="16"/>
                  </w:rPr>
                  <w:t>Page 40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75DB6" w:rsidRDefault="00F75DB6">
      <w:r>
        <w:separator/>
      </w:r>
    </w:p>
  </w:footnote>
  <w:footnote w:type="continuationSeparator" w:id="0">
    <w:p w:rsidR="00F75DB6" w:rsidRDefault="00F75DB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112BC2">
    <w:pPr>
      <w:pStyle w:val="BodyText"/>
      <w:spacing w:line="14" w:lineRule="auto"/>
      <w:rPr>
        <w:sz w:val="20"/>
      </w:rPr>
    </w:pPr>
    <w:r w:rsidRPr="00112BC2"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4101" type="#_x0000_t202" style="position:absolute;margin-left:416pt;margin-top:26.05pt;width:144.3pt;height:17.4pt;z-index:-46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<v:textbox inset="0,0,0,0">
            <w:txbxContent>
              <w:p w:rsidR="00AE3E37" w:rsidRPr="005B3A56" w:rsidRDefault="00A9710C">
                <w:pPr>
                  <w:spacing w:before="2" w:line="249" w:lineRule="auto"/>
                  <w:ind w:left="156" w:right="18" w:hanging="137"/>
                  <w:rPr>
                    <w:rFonts w:ascii="Arial"/>
                    <w:color w:val="FFFFFF" w:themeColor="background1"/>
                    <w:sz w:val="14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T Furuta et al., J Pai n Relief 2016, 5:3(Suppl) </w:t>
                </w:r>
                <w:hyperlink r:id="rId1">
                  <w:r w:rsidRPr="005B3A56">
                    <w:rPr>
                      <w:rFonts w:ascii="Arial"/>
                      <w:color w:val="FFFFFF" w:themeColor="background1"/>
                      <w:sz w:val="14"/>
                    </w:rPr>
                    <w:t>http://dx.doi.org/10.4172/2167-0846.C1.006</w:t>
                  </w:r>
                </w:hyperlink>
              </w:p>
            </w:txbxContent>
          </v:textbox>
          <w10:wrap anchorx="page" anchory="page"/>
        </v:shape>
      </w:pict>
    </w:r>
    <w:r w:rsidRPr="00112BC2">
      <w:rPr>
        <w:noProof/>
        <w:lang w:val="en-IN" w:eastAsia="en-IN"/>
      </w:rPr>
      <w:pict>
        <v:shape id="Text Box 4" o:spid="_x0000_s4100" type="#_x0000_t202" style="position:absolute;margin-left:35pt;margin-top:48.3pt;width:515.95pt;height:40.1pt;z-index:-457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pStyle w:val="BodyText"/>
                  <w:spacing w:line="187" w:lineRule="exact"/>
                  <w:ind w:left="20" w:right="-10"/>
                  <w:rPr>
                    <w:rFonts w:ascii="Myriad Pro"/>
                    <w:color w:val="FFFFFF" w:themeColor="background1"/>
                  </w:rPr>
                </w:pPr>
                <w:r w:rsidRPr="005B3A56">
                  <w:rPr>
                    <w:rFonts w:ascii="Myriad Pro"/>
                    <w:color w:val="FFFFFF" w:themeColor="background1"/>
                  </w:rPr>
                  <w:t>International Conference on</w:t>
                </w:r>
              </w:p>
              <w:p w:rsidR="00AE3E37" w:rsidRPr="005B3A56" w:rsidRDefault="00A9710C">
                <w:pPr>
                  <w:spacing w:line="614" w:lineRule="exact"/>
                  <w:ind w:left="20" w:right="-10"/>
                  <w:rPr>
                    <w:rFonts w:ascii="Minion Pro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52"/>
                  </w:rPr>
                  <w:t xml:space="preserve">Fibromyalgia and Chronic Pain </w:t>
                </w:r>
                <w:r w:rsidRPr="005B3A56">
                  <w:rPr>
                    <w:rFonts w:ascii="Minion Pro"/>
                    <w:color w:val="FFFFFF" w:themeColor="background1"/>
                    <w:sz w:val="24"/>
                  </w:rPr>
                  <w:t>(June 15-16, 2016   Philadelphia, USA)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20"/>
  <w:drawingGridHorizontalSpacing w:val="110"/>
  <w:displayHorizontalDrawingGridEvery w:val="2"/>
  <w:characterSpacingControl w:val="doNotCompress"/>
  <w:hdrShapeDefaults>
    <o:shapedefaults v:ext="edit" spidmax="717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AE3E37"/>
    <w:rsid w:val="000E2911"/>
    <w:rsid w:val="00112BC2"/>
    <w:rsid w:val="001263DF"/>
    <w:rsid w:val="001B64A9"/>
    <w:rsid w:val="001E3A30"/>
    <w:rsid w:val="001E763C"/>
    <w:rsid w:val="002078FD"/>
    <w:rsid w:val="00292ED9"/>
    <w:rsid w:val="002B58D1"/>
    <w:rsid w:val="00304F95"/>
    <w:rsid w:val="00314AFB"/>
    <w:rsid w:val="003633A7"/>
    <w:rsid w:val="00363E84"/>
    <w:rsid w:val="003B76D9"/>
    <w:rsid w:val="00404E5B"/>
    <w:rsid w:val="00414F7B"/>
    <w:rsid w:val="004355DC"/>
    <w:rsid w:val="004749B4"/>
    <w:rsid w:val="00494130"/>
    <w:rsid w:val="004F3523"/>
    <w:rsid w:val="005973B9"/>
    <w:rsid w:val="005B3A56"/>
    <w:rsid w:val="006060CE"/>
    <w:rsid w:val="0063497F"/>
    <w:rsid w:val="0073040D"/>
    <w:rsid w:val="0078738A"/>
    <w:rsid w:val="008170D4"/>
    <w:rsid w:val="0085494F"/>
    <w:rsid w:val="00873DF0"/>
    <w:rsid w:val="008756E6"/>
    <w:rsid w:val="009B2D44"/>
    <w:rsid w:val="00A07E82"/>
    <w:rsid w:val="00A9710C"/>
    <w:rsid w:val="00AE3E37"/>
    <w:rsid w:val="00B21A57"/>
    <w:rsid w:val="00B45CC1"/>
    <w:rsid w:val="00B61284"/>
    <w:rsid w:val="00C33602"/>
    <w:rsid w:val="00CD6F55"/>
    <w:rsid w:val="00D53F84"/>
    <w:rsid w:val="00D62425"/>
    <w:rsid w:val="00DE3104"/>
    <w:rsid w:val="00F72EEA"/>
    <w:rsid w:val="00F75DB6"/>
    <w:rsid w:val="00F8136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329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keyur akbari</cp:lastModifiedBy>
  <cp:revision>5</cp:revision>
  <dcterms:created xsi:type="dcterms:W3CDTF">2020-01-27T18:55:00Z</dcterms:created>
  <dcterms:modified xsi:type="dcterms:W3CDTF">2020-01-27T19:12:00Z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