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73C5" w:rsidRDefault="00DE73C5" w:rsidP="00DE73C5">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An enhanced recovery after surgery (ERAS) pathway following single-level minimally invasive transforaminal lumbar interbody fusion significantly decreases length of stay and opioid requirements</w:t>
      </w:r>
    </w:p>
    <w:p w:rsidR="00DE73C5" w:rsidRDefault="00DE73C5" w:rsidP="00DE73C5">
      <w:pPr>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rPr>
        <w:t>Harel Deutsch, MD</w:t>
      </w:r>
      <w:r>
        <w:rPr>
          <w:rFonts w:ascii="Times New Roman" w:eastAsia="Times New Roman" w:hAnsi="Times New Roman" w:cs="Times New Roman"/>
          <w:sz w:val="24"/>
          <w:szCs w:val="24"/>
        </w:rPr>
        <w:t xml:space="preserve"> , </w:t>
      </w:r>
      <w:r>
        <w:rPr>
          <w:rFonts w:ascii="Times New Roman" w:eastAsia="Times New Roman" w:hAnsi="Times New Roman" w:cs="Times New Roman"/>
          <w:sz w:val="24"/>
          <w:szCs w:val="24"/>
        </w:rPr>
        <w:t xml:space="preserve">Mena G. </w:t>
      </w:r>
      <w:proofErr w:type="spellStart"/>
      <w:r>
        <w:rPr>
          <w:rFonts w:ascii="Times New Roman" w:eastAsia="Times New Roman" w:hAnsi="Times New Roman" w:cs="Times New Roman"/>
          <w:sz w:val="24"/>
          <w:szCs w:val="24"/>
        </w:rPr>
        <w:t>Kerolus</w:t>
      </w:r>
      <w:proofErr w:type="spellEnd"/>
      <w:r>
        <w:rPr>
          <w:rFonts w:ascii="Times New Roman" w:eastAsia="Times New Roman" w:hAnsi="Times New Roman" w:cs="Times New Roman"/>
          <w:sz w:val="24"/>
          <w:szCs w:val="24"/>
        </w:rPr>
        <w:t xml:space="preserve">, MD,  Christopher </w:t>
      </w:r>
      <w:proofErr w:type="spellStart"/>
      <w:r>
        <w:rPr>
          <w:rFonts w:ascii="Times New Roman" w:eastAsia="Times New Roman" w:hAnsi="Times New Roman" w:cs="Times New Roman"/>
          <w:sz w:val="24"/>
          <w:szCs w:val="24"/>
        </w:rPr>
        <w:t>Witiw</w:t>
      </w:r>
      <w:proofErr w:type="spellEnd"/>
      <w:r>
        <w:rPr>
          <w:rFonts w:ascii="Times New Roman" w:eastAsia="Times New Roman" w:hAnsi="Times New Roman" w:cs="Times New Roman"/>
          <w:sz w:val="24"/>
          <w:szCs w:val="24"/>
        </w:rPr>
        <w:t>, MD, MS</w:t>
      </w:r>
      <w:r>
        <w:rPr>
          <w:rFonts w:ascii="Times New Roman" w:eastAsia="Times New Roman" w:hAnsi="Times New Roman" w:cs="Times New Roman"/>
          <w:sz w:val="24"/>
          <w:szCs w:val="24"/>
          <w:vertAlign w:val="superscript"/>
        </w:rPr>
        <w:t xml:space="preserve"> </w:t>
      </w:r>
      <w:proofErr w:type="spellStart"/>
      <w:r>
        <w:rPr>
          <w:rFonts w:ascii="Times New Roman" w:eastAsia="Times New Roman" w:hAnsi="Times New Roman" w:cs="Times New Roman"/>
          <w:sz w:val="24"/>
          <w:szCs w:val="24"/>
        </w:rPr>
        <w:t>Asokumar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Buvanendran</w:t>
      </w:r>
      <w:proofErr w:type="spellEnd"/>
      <w:r>
        <w:rPr>
          <w:rFonts w:ascii="Times New Roman" w:eastAsia="Times New Roman" w:hAnsi="Times New Roman" w:cs="Times New Roman"/>
          <w:sz w:val="24"/>
          <w:szCs w:val="24"/>
        </w:rPr>
        <w:t>, MD,</w:t>
      </w:r>
      <w:r>
        <w:rPr>
          <w:rFonts w:ascii="Times New Roman" w:eastAsia="Times New Roman" w:hAnsi="Times New Roman" w:cs="Times New Roman"/>
          <w:sz w:val="24"/>
          <w:szCs w:val="24"/>
          <w:vertAlign w:val="superscript"/>
        </w:rPr>
        <w:t xml:space="preserve"> </w:t>
      </w:r>
      <w:r>
        <w:rPr>
          <w:rFonts w:ascii="Times New Roman" w:eastAsia="Times New Roman" w:hAnsi="Times New Roman" w:cs="Times New Roman"/>
          <w:sz w:val="24"/>
          <w:szCs w:val="24"/>
        </w:rPr>
        <w:t xml:space="preserve"> Ricardo BV Fontes, MD, PhD, Richard G. Fessler, MD, </w:t>
      </w:r>
      <w:proofErr w:type="spellStart"/>
      <w:r>
        <w:rPr>
          <w:rFonts w:ascii="Times New Roman" w:eastAsia="Times New Roman" w:hAnsi="Times New Roman" w:cs="Times New Roman"/>
          <w:sz w:val="24"/>
          <w:szCs w:val="24"/>
        </w:rPr>
        <w:t>PhD,John</w:t>
      </w:r>
      <w:proofErr w:type="spellEnd"/>
      <w:r>
        <w:rPr>
          <w:rFonts w:ascii="Times New Roman" w:eastAsia="Times New Roman" w:hAnsi="Times New Roman" w:cs="Times New Roman"/>
          <w:sz w:val="24"/>
          <w:szCs w:val="24"/>
        </w:rPr>
        <w:t xml:space="preserve"> E. O’Toole, MD, MS</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210A15">
        <w:rPr>
          <w:color w:val="BF5A14"/>
        </w:rPr>
        <w:t xml:space="preserve"> </w:t>
      </w:r>
    </w:p>
    <w:p w:rsidR="00DE73C5" w:rsidRPr="00DE73C5" w:rsidRDefault="00DE73C5" w:rsidP="00DE73C5">
      <w:pPr>
        <w:pStyle w:val="Heading3"/>
        <w:spacing w:before="74"/>
        <w:rPr>
          <w:rFonts w:ascii="Tw Cen MT" w:eastAsia="Tw Cen MT" w:hAnsi="Tw Cen MT" w:cs="Tw Cen MT"/>
          <w:b w:val="0"/>
          <w:bCs w:val="0"/>
          <w:sz w:val="18"/>
          <w:szCs w:val="18"/>
        </w:rPr>
      </w:pPr>
      <w:r w:rsidRPr="00DE73C5">
        <w:rPr>
          <w:rFonts w:ascii="Tw Cen MT" w:eastAsia="Tw Cen MT" w:hAnsi="Tw Cen MT" w:cs="Tw Cen MT"/>
          <w:bCs w:val="0"/>
          <w:sz w:val="18"/>
          <w:szCs w:val="18"/>
        </w:rPr>
        <w:t>Objective</w:t>
      </w:r>
      <w:r w:rsidRPr="00DE73C5">
        <w:rPr>
          <w:rFonts w:ascii="Tw Cen MT" w:eastAsia="Tw Cen MT" w:hAnsi="Tw Cen MT" w:cs="Tw Cen MT"/>
          <w:b w:val="0"/>
          <w:bCs w:val="0"/>
          <w:sz w:val="18"/>
          <w:szCs w:val="18"/>
        </w:rPr>
        <w:t>: High opioid requirements in the perioperative and postoperative recovery period in patients undergoing lumbar spine fusion surgery remains a challenge. Although minimally invasive (MIS) techniques have been developed, there still remains substantial difficulties with reducing length of hospital stay (LOS) while decreasing opioid requirements. The purpose of this study was to study the effect of implementing an enhanced recovery after surgery (ERAS) pathway in patients undergoing a one-level MIS transforaminal lumbar interbody fusion (MIS TLIF) at our institution.</w:t>
      </w:r>
    </w:p>
    <w:p w:rsidR="00DE73C5" w:rsidRPr="00DE73C5" w:rsidRDefault="00DE73C5" w:rsidP="00DE73C5">
      <w:pPr>
        <w:pStyle w:val="Heading3"/>
        <w:spacing w:before="74"/>
        <w:rPr>
          <w:rFonts w:ascii="Tw Cen MT" w:eastAsia="Tw Cen MT" w:hAnsi="Tw Cen MT" w:cs="Tw Cen MT"/>
          <w:b w:val="0"/>
          <w:bCs w:val="0"/>
          <w:sz w:val="18"/>
          <w:szCs w:val="18"/>
        </w:rPr>
      </w:pPr>
    </w:p>
    <w:p w:rsidR="00DE73C5" w:rsidRPr="00DE73C5" w:rsidRDefault="00DE73C5" w:rsidP="00DE73C5">
      <w:pPr>
        <w:pStyle w:val="Heading3"/>
        <w:spacing w:before="74"/>
        <w:rPr>
          <w:rFonts w:ascii="Tw Cen MT" w:eastAsia="Tw Cen MT" w:hAnsi="Tw Cen MT" w:cs="Tw Cen MT"/>
          <w:b w:val="0"/>
          <w:bCs w:val="0"/>
          <w:sz w:val="18"/>
          <w:szCs w:val="18"/>
        </w:rPr>
      </w:pPr>
      <w:r w:rsidRPr="00DE73C5">
        <w:rPr>
          <w:rFonts w:ascii="Tw Cen MT" w:eastAsia="Tw Cen MT" w:hAnsi="Tw Cen MT" w:cs="Tw Cen MT"/>
          <w:bCs w:val="0"/>
          <w:sz w:val="18"/>
          <w:szCs w:val="18"/>
        </w:rPr>
        <w:t>Methods</w:t>
      </w:r>
      <w:r w:rsidRPr="00DE73C5">
        <w:rPr>
          <w:rFonts w:ascii="Tw Cen MT" w:eastAsia="Tw Cen MT" w:hAnsi="Tw Cen MT" w:cs="Tw Cen MT"/>
          <w:b w:val="0"/>
          <w:bCs w:val="0"/>
          <w:sz w:val="18"/>
          <w:szCs w:val="18"/>
        </w:rPr>
        <w:t xml:space="preserve">: We implemented an ERAS pathway in patients undergoing an elective one-level MIS - TLIF for degenerative changes at a single institution in January 2016. Consecutive eligible patients were enrolled over a 12-month period. This group was compared with a control cohort which was comprised of consecutive patients undergoing a one-level MIS TLIF over the 2-years prior to the implementation of the ERAS protocol. The primary outcome was LOS.  Secondary outcomes included reduction in morphine equivalent units (MEU), pain scores, postoperative urinary retention, and incidence of postoperative delirium. Patients were compared using the chi-square and student t-tests. </w:t>
      </w:r>
    </w:p>
    <w:p w:rsidR="00DE73C5" w:rsidRPr="00DE73C5" w:rsidRDefault="00DE73C5" w:rsidP="00DE73C5">
      <w:pPr>
        <w:pStyle w:val="Heading3"/>
        <w:spacing w:before="74"/>
        <w:rPr>
          <w:rFonts w:ascii="Tw Cen MT" w:eastAsia="Tw Cen MT" w:hAnsi="Tw Cen MT" w:cs="Tw Cen MT"/>
          <w:b w:val="0"/>
          <w:bCs w:val="0"/>
          <w:sz w:val="18"/>
          <w:szCs w:val="18"/>
        </w:rPr>
      </w:pPr>
    </w:p>
    <w:p w:rsidR="00DE73C5" w:rsidRPr="00DE73C5" w:rsidRDefault="00DE73C5" w:rsidP="00DE73C5">
      <w:pPr>
        <w:pStyle w:val="Heading3"/>
        <w:spacing w:before="74"/>
        <w:rPr>
          <w:rFonts w:ascii="Tw Cen MT" w:eastAsia="Tw Cen MT" w:hAnsi="Tw Cen MT" w:cs="Tw Cen MT"/>
          <w:b w:val="0"/>
          <w:bCs w:val="0"/>
          <w:sz w:val="18"/>
          <w:szCs w:val="18"/>
        </w:rPr>
      </w:pPr>
      <w:r w:rsidRPr="00DE73C5">
        <w:rPr>
          <w:rFonts w:ascii="Tw Cen MT" w:eastAsia="Tw Cen MT" w:hAnsi="Tw Cen MT" w:cs="Tw Cen MT"/>
          <w:bCs w:val="0"/>
          <w:sz w:val="18"/>
          <w:szCs w:val="18"/>
        </w:rPr>
        <w:t>Results:</w:t>
      </w:r>
      <w:r w:rsidRPr="00DE73C5">
        <w:rPr>
          <w:rFonts w:ascii="Tw Cen MT" w:eastAsia="Tw Cen MT" w:hAnsi="Tw Cen MT" w:cs="Tw Cen MT"/>
          <w:b w:val="0"/>
          <w:bCs w:val="0"/>
          <w:sz w:val="18"/>
          <w:szCs w:val="18"/>
        </w:rPr>
        <w:t xml:space="preserve"> Two hundred and ninety-nine patients were evaluated in this study, 87 in the ERAS group and 212 in the control group. There was a significant decrease in LOS in the ERAS cohort (3.1 days vs 3.7 days, p = 0.006), a significant reduction in morphine equivalent units during the course of the hospitalization in the ERAS cohort (241.3 MEU vs 360.8 MEU, p = 0.003), and there was a significant reduction in the number of patients with postoperative urinary retention in the ERAS cohort (42 vs. 138 (p=0.01). There were no significant differences in incidence of delirium or pain scores.  </w:t>
      </w:r>
    </w:p>
    <w:p w:rsidR="00DE73C5" w:rsidRPr="00DE73C5" w:rsidRDefault="00DE73C5" w:rsidP="00DE73C5">
      <w:pPr>
        <w:pStyle w:val="Heading3"/>
        <w:spacing w:before="74"/>
        <w:rPr>
          <w:rFonts w:ascii="Tw Cen MT" w:eastAsia="Tw Cen MT" w:hAnsi="Tw Cen MT" w:cs="Tw Cen MT"/>
          <w:b w:val="0"/>
          <w:bCs w:val="0"/>
          <w:sz w:val="18"/>
          <w:szCs w:val="18"/>
        </w:rPr>
      </w:pPr>
    </w:p>
    <w:p w:rsidR="00AE3E37" w:rsidRDefault="00DE73C5" w:rsidP="00DE73C5">
      <w:pPr>
        <w:pStyle w:val="Heading3"/>
        <w:spacing w:before="74"/>
      </w:pPr>
      <w:r w:rsidRPr="00DE73C5">
        <w:rPr>
          <w:rFonts w:ascii="Tw Cen MT" w:eastAsia="Tw Cen MT" w:hAnsi="Tw Cen MT" w:cs="Tw Cen MT"/>
          <w:bCs w:val="0"/>
          <w:sz w:val="18"/>
          <w:szCs w:val="18"/>
        </w:rPr>
        <w:t>Conclusion:</w:t>
      </w:r>
      <w:r w:rsidRPr="00DE73C5">
        <w:rPr>
          <w:rFonts w:ascii="Tw Cen MT" w:eastAsia="Tw Cen MT" w:hAnsi="Tw Cen MT" w:cs="Tw Cen MT"/>
          <w:b w:val="0"/>
          <w:bCs w:val="0"/>
          <w:sz w:val="18"/>
          <w:szCs w:val="18"/>
        </w:rPr>
        <w:t xml:space="preserve"> This is the largest ERAS MIS fusion cohort published to date evaluating a single cohort of patients in a generalizable manner. This ERAS pathway has shown substantial decrease in LOS and opioid requirements in the immediate perioperative and postoperative period. There is further work to be done to evaluate patients other spine surgical interventions.  </w:t>
      </w:r>
      <w:r w:rsidR="00A9710C">
        <w:rPr>
          <w:b w:val="0"/>
        </w:rPr>
        <w:br w:type="column"/>
      </w:r>
    </w:p>
    <w:p w:rsidR="00AE3E37" w:rsidRDefault="00DE73C5">
      <w:pPr>
        <w:pStyle w:val="BodyText"/>
        <w:spacing w:before="2"/>
        <w:rPr>
          <w:rFonts w:ascii="Arial"/>
          <w:b/>
          <w:sz w:val="16"/>
        </w:rPr>
      </w:pPr>
      <w:r>
        <w:rPr>
          <w:noProof/>
        </w:rPr>
        <w:drawing>
          <wp:inline distT="0" distB="0" distL="0" distR="0" wp14:anchorId="026555A4" wp14:editId="7F62E13B">
            <wp:extent cx="3659869" cy="309308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668339" cy="3100243"/>
                    </a:xfrm>
                    <a:prstGeom prst="rect">
                      <a:avLst/>
                    </a:prstGeom>
                  </pic:spPr>
                </pic:pic>
              </a:graphicData>
            </a:graphic>
          </wp:inline>
        </w:drawing>
      </w:r>
    </w:p>
    <w:p w:rsidR="005973B9" w:rsidRDefault="005973B9" w:rsidP="005973B9">
      <w:pPr>
        <w:spacing w:line="204" w:lineRule="exact"/>
        <w:rPr>
          <w:rFonts w:ascii="Arial"/>
          <w:b/>
          <w:sz w:val="20"/>
        </w:rPr>
      </w:pPr>
      <w:r>
        <w:rPr>
          <w:rFonts w:ascii="Arial"/>
          <w:b/>
          <w:color w:val="BF5A14"/>
          <w:sz w:val="20"/>
        </w:rPr>
        <w:br/>
        <w:t xml:space="preserve">Recent Publications </w:t>
      </w:r>
      <w:bookmarkStart w:id="0" w:name="_GoBack"/>
      <w:bookmarkEnd w:id="0"/>
    </w:p>
    <w:p w:rsidR="00DE73C5" w:rsidRPr="00DE73C5" w:rsidRDefault="00DE73C5" w:rsidP="00DE73C5">
      <w:pPr>
        <w:tabs>
          <w:tab w:val="left" w:pos="384"/>
        </w:tabs>
        <w:ind w:right="117"/>
        <w:rPr>
          <w:rFonts w:ascii="Calibri" w:eastAsia="Calibri" w:hAnsi="Calibri" w:cs="Calibri"/>
          <w:sz w:val="18"/>
        </w:rPr>
      </w:pPr>
      <w:r w:rsidRPr="00DE73C5">
        <w:rPr>
          <w:rFonts w:ascii="Calibri" w:eastAsia="Calibri" w:hAnsi="Calibri" w:cs="Calibri"/>
          <w:sz w:val="18"/>
        </w:rPr>
        <w:t xml:space="preserve">1. </w:t>
      </w:r>
      <w:r w:rsidRPr="00DE73C5">
        <w:rPr>
          <w:rFonts w:ascii="Calibri" w:eastAsia="Calibri" w:hAnsi="Calibri" w:cs="Calibri"/>
          <w:sz w:val="18"/>
        </w:rPr>
        <w:tab/>
        <w:t xml:space="preserve">Hockley A, Ge D, Vasquez-Montes D, </w:t>
      </w:r>
      <w:proofErr w:type="gramStart"/>
      <w:r w:rsidRPr="00DE73C5">
        <w:rPr>
          <w:rFonts w:ascii="Calibri" w:eastAsia="Calibri" w:hAnsi="Calibri" w:cs="Calibri"/>
          <w:sz w:val="18"/>
        </w:rPr>
        <w:t>et</w:t>
      </w:r>
      <w:proofErr w:type="gramEnd"/>
      <w:r w:rsidRPr="00DE73C5">
        <w:rPr>
          <w:rFonts w:ascii="Calibri" w:eastAsia="Calibri" w:hAnsi="Calibri" w:cs="Calibri"/>
          <w:sz w:val="18"/>
        </w:rPr>
        <w:t xml:space="preserve"> al. Minimally Invasive Versus Open Transforaminal Lumbar Interbody Fusion Surgery: An Analysis of Opioids, </w:t>
      </w:r>
      <w:proofErr w:type="spellStart"/>
      <w:r w:rsidRPr="00DE73C5">
        <w:rPr>
          <w:rFonts w:ascii="Calibri" w:eastAsia="Calibri" w:hAnsi="Calibri" w:cs="Calibri"/>
          <w:sz w:val="18"/>
        </w:rPr>
        <w:t>Nonopioid</w:t>
      </w:r>
      <w:proofErr w:type="spellEnd"/>
      <w:r w:rsidRPr="00DE73C5">
        <w:rPr>
          <w:rFonts w:ascii="Calibri" w:eastAsia="Calibri" w:hAnsi="Calibri" w:cs="Calibri"/>
          <w:sz w:val="18"/>
        </w:rPr>
        <w:t xml:space="preserve"> Analgesics, and Perioperative Characteristics. Glob Spine J. 2019</w:t>
      </w:r>
      <w:proofErr w:type="gramStart"/>
      <w:r w:rsidRPr="00DE73C5">
        <w:rPr>
          <w:rFonts w:ascii="Calibri" w:eastAsia="Calibri" w:hAnsi="Calibri" w:cs="Calibri"/>
          <w:sz w:val="18"/>
        </w:rPr>
        <w:t>;9</w:t>
      </w:r>
      <w:proofErr w:type="gramEnd"/>
      <w:r w:rsidRPr="00DE73C5">
        <w:rPr>
          <w:rFonts w:ascii="Calibri" w:eastAsia="Calibri" w:hAnsi="Calibri" w:cs="Calibri"/>
          <w:sz w:val="18"/>
        </w:rPr>
        <w:t xml:space="preserve">(6):624-629. </w:t>
      </w:r>
      <w:proofErr w:type="gramStart"/>
      <w:r w:rsidRPr="00DE73C5">
        <w:rPr>
          <w:rFonts w:ascii="Calibri" w:eastAsia="Calibri" w:hAnsi="Calibri" w:cs="Calibri"/>
          <w:sz w:val="18"/>
        </w:rPr>
        <w:t>doi:</w:t>
      </w:r>
      <w:proofErr w:type="gramEnd"/>
      <w:r w:rsidRPr="00DE73C5">
        <w:rPr>
          <w:rFonts w:ascii="Calibri" w:eastAsia="Calibri" w:hAnsi="Calibri" w:cs="Calibri"/>
          <w:sz w:val="18"/>
        </w:rPr>
        <w:t>10.1177/2192568218822320</w:t>
      </w:r>
    </w:p>
    <w:p w:rsidR="00DE73C5" w:rsidRPr="00DE73C5" w:rsidRDefault="00DE73C5" w:rsidP="00DE73C5">
      <w:pPr>
        <w:tabs>
          <w:tab w:val="left" w:pos="384"/>
        </w:tabs>
        <w:ind w:right="117"/>
        <w:rPr>
          <w:rFonts w:ascii="Calibri" w:eastAsia="Calibri" w:hAnsi="Calibri" w:cs="Calibri"/>
          <w:sz w:val="18"/>
        </w:rPr>
      </w:pPr>
      <w:r w:rsidRPr="00DE73C5">
        <w:rPr>
          <w:rFonts w:ascii="Calibri" w:eastAsia="Calibri" w:hAnsi="Calibri" w:cs="Calibri"/>
          <w:sz w:val="18"/>
        </w:rPr>
        <w:t xml:space="preserve">2. </w:t>
      </w:r>
      <w:r w:rsidRPr="00DE73C5">
        <w:rPr>
          <w:rFonts w:ascii="Calibri" w:eastAsia="Calibri" w:hAnsi="Calibri" w:cs="Calibri"/>
          <w:sz w:val="18"/>
        </w:rPr>
        <w:tab/>
      </w:r>
      <w:proofErr w:type="spellStart"/>
      <w:r w:rsidRPr="00DE73C5">
        <w:rPr>
          <w:rFonts w:ascii="Calibri" w:eastAsia="Calibri" w:hAnsi="Calibri" w:cs="Calibri"/>
          <w:sz w:val="18"/>
        </w:rPr>
        <w:t>Hammad</w:t>
      </w:r>
      <w:proofErr w:type="spellEnd"/>
      <w:r w:rsidRPr="00DE73C5">
        <w:rPr>
          <w:rFonts w:ascii="Calibri" w:eastAsia="Calibri" w:hAnsi="Calibri" w:cs="Calibri"/>
          <w:sz w:val="18"/>
        </w:rPr>
        <w:t xml:space="preserve"> A, </w:t>
      </w:r>
      <w:proofErr w:type="spellStart"/>
      <w:r w:rsidRPr="00DE73C5">
        <w:rPr>
          <w:rFonts w:ascii="Calibri" w:eastAsia="Calibri" w:hAnsi="Calibri" w:cs="Calibri"/>
          <w:sz w:val="18"/>
        </w:rPr>
        <w:t>Wirries</w:t>
      </w:r>
      <w:proofErr w:type="spellEnd"/>
      <w:r w:rsidRPr="00DE73C5">
        <w:rPr>
          <w:rFonts w:ascii="Calibri" w:eastAsia="Calibri" w:hAnsi="Calibri" w:cs="Calibri"/>
          <w:sz w:val="18"/>
        </w:rPr>
        <w:t xml:space="preserve"> A, </w:t>
      </w:r>
      <w:proofErr w:type="spellStart"/>
      <w:r w:rsidRPr="00DE73C5">
        <w:rPr>
          <w:rFonts w:ascii="Calibri" w:eastAsia="Calibri" w:hAnsi="Calibri" w:cs="Calibri"/>
          <w:sz w:val="18"/>
        </w:rPr>
        <w:t>Ardeshiri</w:t>
      </w:r>
      <w:proofErr w:type="spellEnd"/>
      <w:r w:rsidRPr="00DE73C5">
        <w:rPr>
          <w:rFonts w:ascii="Calibri" w:eastAsia="Calibri" w:hAnsi="Calibri" w:cs="Calibri"/>
          <w:sz w:val="18"/>
        </w:rPr>
        <w:t xml:space="preserve"> A, </w:t>
      </w:r>
      <w:proofErr w:type="spellStart"/>
      <w:r w:rsidRPr="00DE73C5">
        <w:rPr>
          <w:rFonts w:ascii="Calibri" w:eastAsia="Calibri" w:hAnsi="Calibri" w:cs="Calibri"/>
          <w:sz w:val="18"/>
        </w:rPr>
        <w:t>Nikiforov</w:t>
      </w:r>
      <w:proofErr w:type="spellEnd"/>
      <w:r w:rsidRPr="00DE73C5">
        <w:rPr>
          <w:rFonts w:ascii="Calibri" w:eastAsia="Calibri" w:hAnsi="Calibri" w:cs="Calibri"/>
          <w:sz w:val="18"/>
        </w:rPr>
        <w:t xml:space="preserve"> O, Geiger F. Open versus minimally invasive TLIF: literature review and meta-analysis. J </w:t>
      </w:r>
      <w:proofErr w:type="spellStart"/>
      <w:r w:rsidRPr="00DE73C5">
        <w:rPr>
          <w:rFonts w:ascii="Calibri" w:eastAsia="Calibri" w:hAnsi="Calibri" w:cs="Calibri"/>
          <w:sz w:val="18"/>
        </w:rPr>
        <w:t>Orthop</w:t>
      </w:r>
      <w:proofErr w:type="spellEnd"/>
      <w:r w:rsidRPr="00DE73C5">
        <w:rPr>
          <w:rFonts w:ascii="Calibri" w:eastAsia="Calibri" w:hAnsi="Calibri" w:cs="Calibri"/>
          <w:sz w:val="18"/>
        </w:rPr>
        <w:t xml:space="preserve"> Surg. 2019</w:t>
      </w:r>
      <w:proofErr w:type="gramStart"/>
      <w:r w:rsidRPr="00DE73C5">
        <w:rPr>
          <w:rFonts w:ascii="Calibri" w:eastAsia="Calibri" w:hAnsi="Calibri" w:cs="Calibri"/>
          <w:sz w:val="18"/>
        </w:rPr>
        <w:t>;14</w:t>
      </w:r>
      <w:proofErr w:type="gramEnd"/>
      <w:r w:rsidRPr="00DE73C5">
        <w:rPr>
          <w:rFonts w:ascii="Calibri" w:eastAsia="Calibri" w:hAnsi="Calibri" w:cs="Calibri"/>
          <w:sz w:val="18"/>
        </w:rPr>
        <w:t xml:space="preserve">(1):229. </w:t>
      </w:r>
      <w:proofErr w:type="gramStart"/>
      <w:r w:rsidRPr="00DE73C5">
        <w:rPr>
          <w:rFonts w:ascii="Calibri" w:eastAsia="Calibri" w:hAnsi="Calibri" w:cs="Calibri"/>
          <w:sz w:val="18"/>
        </w:rPr>
        <w:t>doi:</w:t>
      </w:r>
      <w:proofErr w:type="gramEnd"/>
      <w:r w:rsidRPr="00DE73C5">
        <w:rPr>
          <w:rFonts w:ascii="Calibri" w:eastAsia="Calibri" w:hAnsi="Calibri" w:cs="Calibri"/>
          <w:sz w:val="18"/>
        </w:rPr>
        <w:t>10.1186/s13018-019-1266-y</w:t>
      </w:r>
    </w:p>
    <w:p w:rsidR="00DE73C5" w:rsidRPr="00DE73C5" w:rsidRDefault="00DE73C5" w:rsidP="00DE73C5">
      <w:pPr>
        <w:tabs>
          <w:tab w:val="left" w:pos="384"/>
        </w:tabs>
        <w:ind w:right="117"/>
        <w:rPr>
          <w:rFonts w:ascii="Calibri" w:eastAsia="Calibri" w:hAnsi="Calibri" w:cs="Calibri"/>
          <w:sz w:val="18"/>
        </w:rPr>
      </w:pPr>
      <w:r w:rsidRPr="00DE73C5">
        <w:rPr>
          <w:rFonts w:ascii="Calibri" w:eastAsia="Calibri" w:hAnsi="Calibri" w:cs="Calibri"/>
          <w:sz w:val="18"/>
        </w:rPr>
        <w:t xml:space="preserve">3. </w:t>
      </w:r>
      <w:r w:rsidRPr="00DE73C5">
        <w:rPr>
          <w:rFonts w:ascii="Calibri" w:eastAsia="Calibri" w:hAnsi="Calibri" w:cs="Calibri"/>
          <w:sz w:val="18"/>
        </w:rPr>
        <w:tab/>
      </w:r>
      <w:proofErr w:type="spellStart"/>
      <w:r w:rsidRPr="00DE73C5">
        <w:rPr>
          <w:rFonts w:ascii="Calibri" w:eastAsia="Calibri" w:hAnsi="Calibri" w:cs="Calibri"/>
          <w:sz w:val="18"/>
        </w:rPr>
        <w:t>Mummaneni</w:t>
      </w:r>
      <w:proofErr w:type="spellEnd"/>
      <w:r w:rsidRPr="00DE73C5">
        <w:rPr>
          <w:rFonts w:ascii="Calibri" w:eastAsia="Calibri" w:hAnsi="Calibri" w:cs="Calibri"/>
          <w:sz w:val="18"/>
        </w:rPr>
        <w:t xml:space="preserve"> PV, Bisson EF, </w:t>
      </w:r>
      <w:proofErr w:type="spellStart"/>
      <w:r w:rsidRPr="00DE73C5">
        <w:rPr>
          <w:rFonts w:ascii="Calibri" w:eastAsia="Calibri" w:hAnsi="Calibri" w:cs="Calibri"/>
          <w:sz w:val="18"/>
        </w:rPr>
        <w:t>Kerezoudis</w:t>
      </w:r>
      <w:proofErr w:type="spellEnd"/>
      <w:r w:rsidRPr="00DE73C5">
        <w:rPr>
          <w:rFonts w:ascii="Calibri" w:eastAsia="Calibri" w:hAnsi="Calibri" w:cs="Calibri"/>
          <w:sz w:val="18"/>
        </w:rPr>
        <w:t xml:space="preserve"> P, et al. Minimally invasive versus open fusion for Grade I degenerative lumbar spondylolisthesis: analysis of the Quality Outcomes Database. </w:t>
      </w:r>
      <w:proofErr w:type="spellStart"/>
      <w:r w:rsidRPr="00DE73C5">
        <w:rPr>
          <w:rFonts w:ascii="Calibri" w:eastAsia="Calibri" w:hAnsi="Calibri" w:cs="Calibri"/>
          <w:sz w:val="18"/>
        </w:rPr>
        <w:t>Neurosurg</w:t>
      </w:r>
      <w:proofErr w:type="spellEnd"/>
      <w:r w:rsidRPr="00DE73C5">
        <w:rPr>
          <w:rFonts w:ascii="Calibri" w:eastAsia="Calibri" w:hAnsi="Calibri" w:cs="Calibri"/>
          <w:sz w:val="18"/>
        </w:rPr>
        <w:t xml:space="preserve"> Focus. 2017</w:t>
      </w:r>
      <w:proofErr w:type="gramStart"/>
      <w:r w:rsidRPr="00DE73C5">
        <w:rPr>
          <w:rFonts w:ascii="Calibri" w:eastAsia="Calibri" w:hAnsi="Calibri" w:cs="Calibri"/>
          <w:sz w:val="18"/>
        </w:rPr>
        <w:t>;43</w:t>
      </w:r>
      <w:proofErr w:type="gramEnd"/>
      <w:r w:rsidRPr="00DE73C5">
        <w:rPr>
          <w:rFonts w:ascii="Calibri" w:eastAsia="Calibri" w:hAnsi="Calibri" w:cs="Calibri"/>
          <w:sz w:val="18"/>
        </w:rPr>
        <w:t>(2):E11. doi:10.3171/2017.5.FOCUS17188</w:t>
      </w:r>
    </w:p>
    <w:p w:rsidR="00DE73C5" w:rsidRPr="00DE73C5" w:rsidRDefault="00DE73C5" w:rsidP="00DE73C5">
      <w:pPr>
        <w:tabs>
          <w:tab w:val="left" w:pos="384"/>
        </w:tabs>
        <w:ind w:right="117"/>
        <w:rPr>
          <w:rFonts w:ascii="Calibri" w:eastAsia="Calibri" w:hAnsi="Calibri" w:cs="Calibri"/>
          <w:sz w:val="18"/>
        </w:rPr>
      </w:pPr>
      <w:r w:rsidRPr="00DE73C5">
        <w:rPr>
          <w:rFonts w:ascii="Calibri" w:eastAsia="Calibri" w:hAnsi="Calibri" w:cs="Calibri"/>
          <w:sz w:val="18"/>
        </w:rPr>
        <w:t xml:space="preserve">4. </w:t>
      </w:r>
      <w:r w:rsidRPr="00DE73C5">
        <w:rPr>
          <w:rFonts w:ascii="Calibri" w:eastAsia="Calibri" w:hAnsi="Calibri" w:cs="Calibri"/>
          <w:sz w:val="18"/>
        </w:rPr>
        <w:tab/>
      </w:r>
      <w:proofErr w:type="spellStart"/>
      <w:r w:rsidRPr="00DE73C5">
        <w:rPr>
          <w:rFonts w:ascii="Calibri" w:eastAsia="Calibri" w:hAnsi="Calibri" w:cs="Calibri"/>
          <w:sz w:val="18"/>
        </w:rPr>
        <w:t>Buvanendran</w:t>
      </w:r>
      <w:proofErr w:type="spellEnd"/>
      <w:r w:rsidRPr="00DE73C5">
        <w:rPr>
          <w:rFonts w:ascii="Calibri" w:eastAsia="Calibri" w:hAnsi="Calibri" w:cs="Calibri"/>
          <w:sz w:val="18"/>
        </w:rPr>
        <w:t xml:space="preserve"> A, </w:t>
      </w:r>
      <w:proofErr w:type="spellStart"/>
      <w:r w:rsidRPr="00DE73C5">
        <w:rPr>
          <w:rFonts w:ascii="Calibri" w:eastAsia="Calibri" w:hAnsi="Calibri" w:cs="Calibri"/>
          <w:sz w:val="18"/>
        </w:rPr>
        <w:t>Thillainathan</w:t>
      </w:r>
      <w:proofErr w:type="spellEnd"/>
      <w:r w:rsidRPr="00DE73C5">
        <w:rPr>
          <w:rFonts w:ascii="Calibri" w:eastAsia="Calibri" w:hAnsi="Calibri" w:cs="Calibri"/>
          <w:sz w:val="18"/>
        </w:rPr>
        <w:t xml:space="preserve"> V. Preoperative and postoperative anesthetic and analgesic techniques for minimally invasive surgery of the spine. Spine. 2010</w:t>
      </w:r>
      <w:proofErr w:type="gramStart"/>
      <w:r w:rsidRPr="00DE73C5">
        <w:rPr>
          <w:rFonts w:ascii="Calibri" w:eastAsia="Calibri" w:hAnsi="Calibri" w:cs="Calibri"/>
          <w:sz w:val="18"/>
        </w:rPr>
        <w:t>;35</w:t>
      </w:r>
      <w:proofErr w:type="gramEnd"/>
      <w:r w:rsidRPr="00DE73C5">
        <w:rPr>
          <w:rFonts w:ascii="Calibri" w:eastAsia="Calibri" w:hAnsi="Calibri" w:cs="Calibri"/>
          <w:sz w:val="18"/>
        </w:rPr>
        <w:t xml:space="preserve">(26 </w:t>
      </w:r>
      <w:proofErr w:type="spellStart"/>
      <w:r w:rsidRPr="00DE73C5">
        <w:rPr>
          <w:rFonts w:ascii="Calibri" w:eastAsia="Calibri" w:hAnsi="Calibri" w:cs="Calibri"/>
          <w:sz w:val="18"/>
        </w:rPr>
        <w:t>Suppl</w:t>
      </w:r>
      <w:proofErr w:type="spellEnd"/>
      <w:r w:rsidRPr="00DE73C5">
        <w:rPr>
          <w:rFonts w:ascii="Calibri" w:eastAsia="Calibri" w:hAnsi="Calibri" w:cs="Calibri"/>
          <w:sz w:val="18"/>
        </w:rPr>
        <w:t>):S274-280. doi:10.1097/BRS.0b013e31820240f8</w:t>
      </w:r>
    </w:p>
    <w:p w:rsidR="00AE3E37" w:rsidRPr="008756E6" w:rsidRDefault="00DE73C5" w:rsidP="00DE73C5">
      <w:pPr>
        <w:tabs>
          <w:tab w:val="left" w:pos="384"/>
        </w:tabs>
        <w:ind w:right="117"/>
      </w:pPr>
      <w:r w:rsidRPr="00DE73C5">
        <w:rPr>
          <w:rFonts w:ascii="Calibri" w:eastAsia="Calibri" w:hAnsi="Calibri" w:cs="Calibri"/>
          <w:sz w:val="18"/>
        </w:rPr>
        <w:t xml:space="preserve">5. </w:t>
      </w:r>
      <w:r w:rsidRPr="00DE73C5">
        <w:rPr>
          <w:rFonts w:ascii="Calibri" w:eastAsia="Calibri" w:hAnsi="Calibri" w:cs="Calibri"/>
          <w:sz w:val="18"/>
        </w:rPr>
        <w:tab/>
        <w:t xml:space="preserve">Reynolds RAK, </w:t>
      </w:r>
      <w:proofErr w:type="spellStart"/>
      <w:r w:rsidRPr="00DE73C5">
        <w:rPr>
          <w:rFonts w:ascii="Calibri" w:eastAsia="Calibri" w:hAnsi="Calibri" w:cs="Calibri"/>
          <w:sz w:val="18"/>
        </w:rPr>
        <w:t>Legakis</w:t>
      </w:r>
      <w:proofErr w:type="spellEnd"/>
      <w:r w:rsidRPr="00DE73C5">
        <w:rPr>
          <w:rFonts w:ascii="Calibri" w:eastAsia="Calibri" w:hAnsi="Calibri" w:cs="Calibri"/>
          <w:sz w:val="18"/>
        </w:rPr>
        <w:t xml:space="preserve"> JE, Tweedie J, et al. Postoperative pain management after spinal fusion surgery: an analysis of the efficacy of continuous infusion of local anesthetics. Glob Spine J. 2013</w:t>
      </w:r>
      <w:proofErr w:type="gramStart"/>
      <w:r w:rsidRPr="00DE73C5">
        <w:rPr>
          <w:rFonts w:ascii="Calibri" w:eastAsia="Calibri" w:hAnsi="Calibri" w:cs="Calibri"/>
          <w:sz w:val="18"/>
        </w:rPr>
        <w:t>;3</w:t>
      </w:r>
      <w:proofErr w:type="gramEnd"/>
      <w:r w:rsidRPr="00DE73C5">
        <w:rPr>
          <w:rFonts w:ascii="Calibri" w:eastAsia="Calibri" w:hAnsi="Calibri" w:cs="Calibri"/>
          <w:sz w:val="18"/>
        </w:rPr>
        <w:t xml:space="preserve">(1):7-14. </w:t>
      </w:r>
      <w:proofErr w:type="gramStart"/>
      <w:r w:rsidRPr="00DE73C5">
        <w:rPr>
          <w:rFonts w:ascii="Calibri" w:eastAsia="Calibri" w:hAnsi="Calibri" w:cs="Calibri"/>
          <w:sz w:val="18"/>
        </w:rPr>
        <w:t>doi:</w:t>
      </w:r>
      <w:proofErr w:type="gramEnd"/>
      <w:r w:rsidRPr="00DE73C5">
        <w:rPr>
          <w:rFonts w:ascii="Calibri" w:eastAsia="Calibri" w:hAnsi="Calibri" w:cs="Calibri"/>
          <w:sz w:val="18"/>
        </w:rPr>
        <w:t>10.1055/s-0033-1337119</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1431AB8"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DE73C5" w:rsidP="00DE73C5">
      <w:pPr>
        <w:spacing w:before="92"/>
        <w:ind w:right="4234"/>
        <w:rPr>
          <w:rFonts w:ascii="Arial"/>
          <w:sz w:val="14"/>
        </w:rPr>
      </w:pPr>
      <w:r>
        <w:rPr>
          <w:noProof/>
        </w:rPr>
        <mc:AlternateContent>
          <mc:Choice Requires="wps">
            <w:drawing>
              <wp:anchor distT="45720" distB="45720" distL="114300" distR="114300" simplePos="0" relativeHeight="251658752" behindDoc="0" locked="0" layoutInCell="1" allowOverlap="1">
                <wp:simplePos x="0" y="0"/>
                <wp:positionH relativeFrom="column">
                  <wp:posOffset>1320165</wp:posOffset>
                </wp:positionH>
                <wp:positionV relativeFrom="paragraph">
                  <wp:posOffset>121920</wp:posOffset>
                </wp:positionV>
                <wp:extent cx="5067935" cy="1790700"/>
                <wp:effectExtent l="0" t="0" r="1841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67935" cy="1790700"/>
                        </a:xfrm>
                        <a:prstGeom prst="rect">
                          <a:avLst/>
                        </a:prstGeom>
                        <a:solidFill>
                          <a:srgbClr val="FFFFFF"/>
                        </a:solidFill>
                        <a:ln w="9525">
                          <a:solidFill>
                            <a:srgbClr val="000000"/>
                          </a:solidFill>
                          <a:miter lim="800000"/>
                          <a:headEnd/>
                          <a:tailEnd/>
                        </a:ln>
                      </wps:spPr>
                      <wps:txbx>
                        <w:txbxContent>
                          <w:p w:rsidR="00DE73C5" w:rsidRDefault="00DE73C5">
                            <w:r w:rsidRPr="00DE73C5">
                              <w:rPr>
                                <w:color w:val="000000"/>
                                <w:sz w:val="20"/>
                                <w:szCs w:val="20"/>
                              </w:rPr>
                              <w:t>Harel Deutsch, MD, is co-director of the Rush Spine Center, and his subspecialty is spine surgery. He is skilled in complex spinal procedures and spine tumor surgery. Deutsch specializes in the care of patients with degenerative and traumatic disease of the cervical, thoracic and lumbar spine with a strong emphasis on minimally invasive surgery. Deutsch has a special interest in failed previous spine surgery and failed back syndrome. He is also involved in research on motion preservation technology and artificial disk technology. Deutsch has numerous publications in peer-reviewed journals and has published</w:t>
                            </w:r>
                            <w:r>
                              <w:rPr>
                                <w:color w:val="000000"/>
                                <w:sz w:val="27"/>
                                <w:szCs w:val="27"/>
                              </w:rPr>
                              <w:t xml:space="preserve"> </w:t>
                            </w:r>
                            <w:r w:rsidRPr="00DE73C5">
                              <w:rPr>
                                <w:color w:val="000000"/>
                                <w:sz w:val="20"/>
                                <w:szCs w:val="20"/>
                              </w:rPr>
                              <w:t xml:space="preserve">abstracts and book chapters. His research interest is in the etiology of chronic back pain. He is also involved in professional education on a national level and is an associate editor at spineuniverse.com. Deutsch earned his medical degree from University of Miami School of Medicine, graduating with honors in 1996. He completed his internship in surgery and residency in neurosurgery at The Mount Sinai Hospital in New York.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103.95pt;margin-top:9.6pt;width:399.05pt;height:141pt;z-index:251658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">
                <v:textbox>
                  <w:txbxContent>
                    <w:p w:rsidR="00DE73C5" w:rsidRDefault="00DE73C5">
                      <w:r w:rsidRPr="00DE73C5">
                        <w:rPr>
                          <w:color w:val="000000"/>
                          <w:sz w:val="20"/>
                          <w:szCs w:val="20"/>
                        </w:rPr>
                        <w:t>Harel Deutsch, MD, is co-director of the Rush Spine Center, and his subspecialty is spine surgery. He is skilled in complex spinal procedures and spine tumor surgery. Deutsch specializes in the care of patients with degenerative and traumatic disease of the cervical, thoracic and lumbar spine with a strong emphasis on minimally invasive surgery. Deutsch has a special interest in failed previous spine surgery and failed back syndrome. He is also involved in research on motion preservation technology and artificial disk technology. Deutsch has numerous publications in peer-reviewed journals and has published</w:t>
                      </w:r>
                      <w:r>
                        <w:rPr>
                          <w:color w:val="000000"/>
                          <w:sz w:val="27"/>
                          <w:szCs w:val="27"/>
                        </w:rPr>
                        <w:t xml:space="preserve"> </w:t>
                      </w:r>
                      <w:r w:rsidRPr="00DE73C5">
                        <w:rPr>
                          <w:color w:val="000000"/>
                          <w:sz w:val="20"/>
                          <w:szCs w:val="20"/>
                        </w:rPr>
                        <w:t xml:space="preserve">abstracts and book chapters. His research interest is in the etiology of chronic back pain. He is also involved in professional education on a national level and is an associate editor at spineuniverse.com. Deutsch earned his medical degree from University of Miami School of Medicine, graduating with honors in 1996. He completed his internship in surgery and residency in neurosurgery at The Mount Sinai Hospital in New York. </w:t>
                      </w:r>
                    </w:p>
                  </w:txbxContent>
                </v:textbox>
                <w10:wrap type="square"/>
              </v:shape>
            </w:pict>
          </mc:Fallback>
        </mc:AlternateContent>
      </w:r>
      <w:r w:rsidR="008756E6">
        <w:rPr>
          <w:noProof/>
        </w:rPr>
        <w:t xml:space="preserve">              </w:t>
      </w:r>
      <w:r>
        <w:rPr>
          <w:noProof/>
        </w:rPr>
        <w:drawing>
          <wp:inline distT="0" distB="0" distL="0" distR="0">
            <wp:extent cx="1057275" cy="792956"/>
            <wp:effectExtent l="0" t="0" r="0" b="7620"/>
            <wp:docPr id="2" name="Picture 2" descr="Harel Deutsch, M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rel Deutsch, M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66222" cy="799666"/>
                    </a:xfrm>
                    <a:prstGeom prst="rect">
                      <a:avLst/>
                    </a:prstGeom>
                    <a:noFill/>
                    <a:ln>
                      <a:noFill/>
                    </a:ln>
                  </pic:spPr>
                </pic:pic>
              </a:graphicData>
            </a:graphic>
          </wp:inline>
        </w:drawing>
      </w:r>
      <w:r>
        <w:rPr>
          <w:noProof/>
        </w:rPr>
        <w:t xml:space="preserve"> </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BBE9FA"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72702" w:rsidRDefault="00672702">
      <w:r>
        <w:separator/>
      </w:r>
    </w:p>
  </w:endnote>
  <w:endnote w:type="continuationSeparator" w:id="0">
    <w:p w:rsidR="00672702" w:rsidRDefault="006727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9"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0"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1"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72702" w:rsidRDefault="00672702">
      <w:r>
        <w:separator/>
      </w:r>
    </w:p>
  </w:footnote>
  <w:footnote w:type="continuationSeparator" w:id="0">
    <w:p w:rsidR="00672702" w:rsidRDefault="0067270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7"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8"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1E763C"/>
    <w:rsid w:val="00210A15"/>
    <w:rsid w:val="00292ED9"/>
    <w:rsid w:val="00314AFB"/>
    <w:rsid w:val="003B76D9"/>
    <w:rsid w:val="00404E5B"/>
    <w:rsid w:val="00414F7B"/>
    <w:rsid w:val="004355DC"/>
    <w:rsid w:val="004749B4"/>
    <w:rsid w:val="00494130"/>
    <w:rsid w:val="004F3523"/>
    <w:rsid w:val="005973B9"/>
    <w:rsid w:val="005B3A56"/>
    <w:rsid w:val="006060CE"/>
    <w:rsid w:val="0063497F"/>
    <w:rsid w:val="00672702"/>
    <w:rsid w:val="0078738A"/>
    <w:rsid w:val="00873DF0"/>
    <w:rsid w:val="008756E6"/>
    <w:rsid w:val="009B2D44"/>
    <w:rsid w:val="00A07E82"/>
    <w:rsid w:val="00A9710C"/>
    <w:rsid w:val="00AE3E37"/>
    <w:rsid w:val="00B21A57"/>
    <w:rsid w:val="00C33602"/>
    <w:rsid w:val="00CD6F55"/>
    <w:rsid w:val="00D62425"/>
    <w:rsid w:val="00DE3104"/>
    <w:rsid w:val="00DE73C5"/>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1E92622-CA46-4DB9-863C-7A01D8C75E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5126226">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805244841">
      <w:bodyDiv w:val="1"/>
      <w:marLeft w:val="0"/>
      <w:marRight w:val="0"/>
      <w:marTop w:val="0"/>
      <w:marBottom w:val="0"/>
      <w:divBdr>
        <w:top w:val="none" w:sz="0" w:space="0" w:color="auto"/>
        <w:left w:val="none" w:sz="0" w:space="0" w:color="auto"/>
        <w:bottom w:val="none" w:sz="0" w:space="0" w:color="auto"/>
        <w:right w:val="none" w:sz="0" w:space="0" w:color="auto"/>
      </w:divBdr>
    </w:div>
    <w:div w:id="1112674557">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570</Words>
  <Characters>3251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Harel Deutsch</cp:lastModifiedBy>
  <cp:revision>2</cp:revision>
  <dcterms:created xsi:type="dcterms:W3CDTF">2019-12-19T18:11:00Z</dcterms:created>
  <dcterms:modified xsi:type="dcterms:W3CDTF">2019-12-19T18:11:00Z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