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961AD9" w14:textId="77777777" w:rsidR="004C4728" w:rsidRPr="00741D55" w:rsidRDefault="004C4728" w:rsidP="004C4728">
      <w:pPr>
        <w:jc w:val="center"/>
      </w:pPr>
      <w:bookmarkStart w:id="0" w:name="_Hlk520811788"/>
      <w:r>
        <w:t>EXTREME LATERAL INTERBODY FUSION</w:t>
      </w:r>
      <w:r w:rsidRPr="00741D55">
        <w:t xml:space="preserve"> AND</w:t>
      </w:r>
      <w:r>
        <w:t xml:space="preserve"> BILATERAL</w:t>
      </w:r>
      <w:r w:rsidRPr="00741D55">
        <w:t xml:space="preserve"> PERCUTANEOUS PEDICLE</w:t>
      </w:r>
      <w:r>
        <w:t xml:space="preserve"> SCREW</w:t>
      </w:r>
      <w:r w:rsidRPr="00741D55">
        <w:t xml:space="preserve"> FIXATION PERFORMED</w:t>
      </w:r>
      <w:r>
        <w:t xml:space="preserve"> ALL</w:t>
      </w:r>
      <w:r w:rsidRPr="00741D55">
        <w:t xml:space="preserve"> IN LATERAL POSITION</w:t>
      </w:r>
    </w:p>
    <w:bookmarkEnd w:id="0"/>
    <w:p w14:paraId="354FC82C" w14:textId="505DD2D3" w:rsidR="00AE3E37" w:rsidRDefault="0078738A" w:rsidP="004C4728">
      <w:pPr>
        <w:pStyle w:val="Corpotesto"/>
        <w:spacing w:before="73" w:line="198" w:lineRule="exact"/>
        <w:ind w:left="100" w:right="5987"/>
        <w:rPr>
          <w:rFonts w:ascii="Arial"/>
          <w:sz w:val="20"/>
        </w:rPr>
      </w:pPr>
      <w:r>
        <w:rPr>
          <w:rFonts w:ascii="Arial"/>
        </w:rPr>
        <w:t>Dr</w:t>
      </w:r>
      <w:r w:rsidR="004C4728">
        <w:rPr>
          <w:rFonts w:ascii="Arial"/>
        </w:rPr>
        <w:t>. Josip Buric</w:t>
      </w:r>
    </w:p>
    <w:p w14:paraId="50BF128E" w14:textId="77777777" w:rsidR="00AE3E37" w:rsidRDefault="00AE3E37">
      <w:pPr>
        <w:pStyle w:val="Corpotesto"/>
        <w:spacing w:before="3"/>
        <w:rPr>
          <w:rFonts w:ascii="Arial"/>
          <w:sz w:val="21"/>
        </w:rPr>
      </w:pPr>
    </w:p>
    <w:p w14:paraId="4D37B1D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4ACCFF7" w14:textId="0DEEF64F" w:rsidR="004C4728" w:rsidRPr="004C4728" w:rsidRDefault="004C4728" w:rsidP="004C4728">
      <w:pPr>
        <w:jc w:val="both"/>
        <w:rPr>
          <w:sz w:val="20"/>
          <w:szCs w:val="20"/>
        </w:rPr>
      </w:pPr>
      <w:bookmarkStart w:id="1" w:name="_Hlk520810973"/>
      <w:r w:rsidRPr="004C4728">
        <w:rPr>
          <w:sz w:val="20"/>
          <w:szCs w:val="20"/>
        </w:rPr>
        <w:t xml:space="preserve">Lumbar XLIF and bilateral percutaneous pedicle fixation is a valuable minimally invasive approach for achieving </w:t>
      </w:r>
      <w:proofErr w:type="gramStart"/>
      <w:r w:rsidRPr="004C4728">
        <w:rPr>
          <w:sz w:val="20"/>
          <w:szCs w:val="20"/>
        </w:rPr>
        <w:t>an</w:t>
      </w:r>
      <w:proofErr w:type="gramEnd"/>
      <w:r w:rsidRPr="004C4728">
        <w:rPr>
          <w:sz w:val="20"/>
          <w:szCs w:val="20"/>
        </w:rPr>
        <w:t xml:space="preserve"> useful and solid lumbar circumferential fusion in selected cases. Currently, a change in the position of the patient on the operating table from lateral to prone is used. Theoretically, being able to perform both approaches in the same position, would significantly reduce surgical time. </w:t>
      </w:r>
    </w:p>
    <w:p w14:paraId="34B31A76" w14:textId="7C8EC556" w:rsidR="004C4728" w:rsidRPr="004C4728" w:rsidRDefault="004C4728" w:rsidP="004C4728">
      <w:pPr>
        <w:jc w:val="both"/>
        <w:rPr>
          <w:sz w:val="20"/>
          <w:szCs w:val="20"/>
        </w:rPr>
      </w:pPr>
      <w:r w:rsidRPr="004C4728">
        <w:rPr>
          <w:sz w:val="20"/>
          <w:szCs w:val="20"/>
        </w:rPr>
        <w:t xml:space="preserve">Fifteen consecutive patients were submitted to a circumferential fusion done in the same, lateral, position. There were 9 female and 6 male patients, mean age 52 years. Low back pain due to degenerative disc disease were the prevalent symptom and pathology, respectively. Follow-up was recorded for operation time and walk out of bed timing and compared to the group of patients operated previously in whom the change in position was used. </w:t>
      </w:r>
    </w:p>
    <w:p w14:paraId="560AF1A4" w14:textId="3E09998F" w:rsidR="004C4728" w:rsidRPr="004C4728" w:rsidRDefault="004C4728" w:rsidP="004C4728">
      <w:pPr>
        <w:jc w:val="both"/>
        <w:rPr>
          <w:sz w:val="20"/>
          <w:szCs w:val="20"/>
        </w:rPr>
      </w:pPr>
      <w:r w:rsidRPr="004C4728">
        <w:rPr>
          <w:sz w:val="20"/>
          <w:szCs w:val="20"/>
        </w:rPr>
        <w:t xml:space="preserve">Seven patients performed a two-level circumferential fusion, fife at L3-L5 levels and two at L1-L3 levels while 8 patients performed the procedure on a single level (six on L4-L5 and two on L3-L4). Mean surgical time was 79 (±14) minutes (29 for XLIF and 50 for pedicle fixation) for one level and 114 (±21) minutes (54 for XLIF and 60 for pedicle fixation) for more than one level surgery. Average time lap between the XLIF part and pedicle screw part of the procedure was 6 (±2) minutes. No differences in screw positioning were found on post-op X-rays between the two groups. </w:t>
      </w:r>
    </w:p>
    <w:p w14:paraId="7CE4F312" w14:textId="08D3BD16" w:rsidR="004C4728" w:rsidRPr="004C4728" w:rsidRDefault="004C4728" w:rsidP="004C4728">
      <w:pPr>
        <w:jc w:val="both"/>
        <w:rPr>
          <w:sz w:val="20"/>
          <w:szCs w:val="20"/>
        </w:rPr>
      </w:pPr>
      <w:r w:rsidRPr="004C4728">
        <w:rPr>
          <w:sz w:val="20"/>
          <w:szCs w:val="20"/>
        </w:rPr>
        <w:t xml:space="preserve">Lumbar circumferential fusion with XLIF and bilateral percutaneous pedicle screw fixation performed in lateral position seems a useful modification of the standard procedure done in two different positions. Technical challenge in performing the procedure in lateral position is slightly more demanding due to different patient orientation however, the learning curve is short and after a few cases the timing of the approaches between prone and lateral position equal. </w:t>
      </w:r>
    </w:p>
    <w:bookmarkEnd w:id="1"/>
    <w:p w14:paraId="2D8098C3" w14:textId="1A4EFC4C" w:rsidR="005973B9" w:rsidRDefault="00A9710C" w:rsidP="00DC15A1">
      <w:pPr>
        <w:pStyle w:val="Titolo3"/>
        <w:spacing w:before="74"/>
        <w:rPr>
          <w:b w:val="0"/>
        </w:rPr>
      </w:pPr>
      <w:r>
        <w:rPr>
          <w:b w:val="0"/>
        </w:rPr>
        <w:br w:type="column"/>
      </w:r>
      <w:bookmarkStart w:id="2" w:name="_GoBack"/>
      <w:bookmarkEnd w:id="2"/>
    </w:p>
    <w:p w14:paraId="42C14334" w14:textId="21668F84" w:rsidR="00AE3E37" w:rsidRPr="00DC15A1" w:rsidRDefault="001B6597" w:rsidP="001B6597">
      <w:pPr>
        <w:pStyle w:val="Paragrafoelenco"/>
        <w:numPr>
          <w:ilvl w:val="0"/>
          <w:numId w:val="4"/>
        </w:numPr>
        <w:tabs>
          <w:tab w:val="left" w:pos="384"/>
        </w:tabs>
        <w:ind w:right="117"/>
        <w:rPr>
          <w:rFonts w:ascii="Times New Roman" w:hAnsi="Times New Roman" w:cs="Times New Roman"/>
          <w:sz w:val="20"/>
          <w:szCs w:val="20"/>
        </w:rPr>
      </w:pPr>
      <w:r w:rsidRPr="00DC15A1">
        <w:rPr>
          <w:rFonts w:ascii="Times New Roman" w:hAnsi="Times New Roman" w:cs="Times New Roman"/>
          <w:color w:val="303030"/>
          <w:sz w:val="20"/>
          <w:szCs w:val="20"/>
          <w:shd w:val="clear" w:color="auto" w:fill="FFFFFF"/>
        </w:rPr>
        <w:t xml:space="preserve">Wang QY, Huang MG, </w:t>
      </w:r>
      <w:proofErr w:type="spellStart"/>
      <w:r w:rsidRPr="00DC15A1">
        <w:rPr>
          <w:rFonts w:ascii="Times New Roman" w:hAnsi="Times New Roman" w:cs="Times New Roman"/>
          <w:color w:val="303030"/>
          <w:sz w:val="20"/>
          <w:szCs w:val="20"/>
          <w:shd w:val="clear" w:color="auto" w:fill="FFFFFF"/>
        </w:rPr>
        <w:t>Ou</w:t>
      </w:r>
      <w:proofErr w:type="spellEnd"/>
      <w:r w:rsidRPr="00DC15A1">
        <w:rPr>
          <w:rFonts w:ascii="Times New Roman" w:hAnsi="Times New Roman" w:cs="Times New Roman"/>
          <w:color w:val="303030"/>
          <w:sz w:val="20"/>
          <w:szCs w:val="20"/>
          <w:shd w:val="clear" w:color="auto" w:fill="FFFFFF"/>
        </w:rPr>
        <w:t xml:space="preserve"> DQ, et al. One-stage extreme lateral interbody fusion and percutaneous pedicle screw fixation in lumbar spine tuberculosis. </w:t>
      </w:r>
      <w:r w:rsidRPr="00DC15A1">
        <w:rPr>
          <w:rFonts w:ascii="Times New Roman" w:hAnsi="Times New Roman" w:cs="Times New Roman"/>
          <w:i/>
          <w:iCs/>
          <w:color w:val="303030"/>
          <w:sz w:val="20"/>
          <w:szCs w:val="20"/>
          <w:shd w:val="clear" w:color="auto" w:fill="FFFFFF"/>
        </w:rPr>
        <w:t xml:space="preserve">J </w:t>
      </w:r>
      <w:proofErr w:type="spellStart"/>
      <w:r w:rsidRPr="00DC15A1">
        <w:rPr>
          <w:rFonts w:ascii="Times New Roman" w:hAnsi="Times New Roman" w:cs="Times New Roman"/>
          <w:i/>
          <w:iCs/>
          <w:color w:val="303030"/>
          <w:sz w:val="20"/>
          <w:szCs w:val="20"/>
          <w:shd w:val="clear" w:color="auto" w:fill="FFFFFF"/>
        </w:rPr>
        <w:t>Musculoskelet</w:t>
      </w:r>
      <w:proofErr w:type="spellEnd"/>
      <w:r w:rsidRPr="00DC15A1">
        <w:rPr>
          <w:rFonts w:ascii="Times New Roman" w:hAnsi="Times New Roman" w:cs="Times New Roman"/>
          <w:i/>
          <w:iCs/>
          <w:color w:val="303030"/>
          <w:sz w:val="20"/>
          <w:szCs w:val="20"/>
          <w:shd w:val="clear" w:color="auto" w:fill="FFFFFF"/>
        </w:rPr>
        <w:t xml:space="preserve"> Neuronal Interact</w:t>
      </w:r>
      <w:r w:rsidRPr="00DC15A1">
        <w:rPr>
          <w:rFonts w:ascii="Times New Roman" w:hAnsi="Times New Roman" w:cs="Times New Roman"/>
          <w:color w:val="303030"/>
          <w:sz w:val="20"/>
          <w:szCs w:val="20"/>
          <w:shd w:val="clear" w:color="auto" w:fill="FFFFFF"/>
        </w:rPr>
        <w:t>. 2017;17(1):450–455.</w:t>
      </w:r>
    </w:p>
    <w:p w14:paraId="769C771E" w14:textId="085916C5" w:rsidR="001B6597" w:rsidRPr="00DC15A1" w:rsidRDefault="001B6597" w:rsidP="001B6597">
      <w:pPr>
        <w:pStyle w:val="Paragrafoelenco"/>
        <w:numPr>
          <w:ilvl w:val="0"/>
          <w:numId w:val="4"/>
        </w:numPr>
        <w:tabs>
          <w:tab w:val="left" w:pos="384"/>
        </w:tabs>
        <w:ind w:right="117"/>
        <w:rPr>
          <w:rFonts w:ascii="Times New Roman" w:hAnsi="Times New Roman" w:cs="Times New Roman"/>
          <w:sz w:val="20"/>
          <w:szCs w:val="20"/>
        </w:rPr>
      </w:pPr>
      <w:r w:rsidRPr="00DC15A1">
        <w:rPr>
          <w:rFonts w:ascii="Times New Roman" w:hAnsi="Times New Roman" w:cs="Times New Roman"/>
          <w:color w:val="000000"/>
          <w:sz w:val="20"/>
          <w:szCs w:val="20"/>
          <w:shd w:val="clear" w:color="auto" w:fill="FFFFFF"/>
        </w:rPr>
        <w:t xml:space="preserve">Jonathan N. </w:t>
      </w:r>
      <w:proofErr w:type="spellStart"/>
      <w:r w:rsidRPr="00DC15A1">
        <w:rPr>
          <w:rFonts w:ascii="Times New Roman" w:hAnsi="Times New Roman" w:cs="Times New Roman"/>
          <w:color w:val="000000"/>
          <w:sz w:val="20"/>
          <w:szCs w:val="20"/>
          <w:shd w:val="clear" w:color="auto" w:fill="FFFFFF"/>
        </w:rPr>
        <w:t>Sellin</w:t>
      </w:r>
      <w:proofErr w:type="spellEnd"/>
      <w:r w:rsidRPr="00DC15A1">
        <w:rPr>
          <w:rFonts w:ascii="Times New Roman" w:hAnsi="Times New Roman" w:cs="Times New Roman"/>
          <w:color w:val="000000"/>
          <w:sz w:val="20"/>
          <w:szCs w:val="20"/>
          <w:shd w:val="clear" w:color="auto" w:fill="FFFFFF"/>
        </w:rPr>
        <w:t xml:space="preserve">, Rory R. Mayer, Marcus Hoffman, and Alexander E. </w:t>
      </w:r>
      <w:proofErr w:type="spellStart"/>
      <w:r w:rsidRPr="00DC15A1">
        <w:rPr>
          <w:rFonts w:ascii="Times New Roman" w:hAnsi="Times New Roman" w:cs="Times New Roman"/>
          <w:color w:val="000000"/>
          <w:sz w:val="20"/>
          <w:szCs w:val="20"/>
          <w:shd w:val="clear" w:color="auto" w:fill="FFFFFF"/>
        </w:rPr>
        <w:t>Ropper</w:t>
      </w:r>
      <w:proofErr w:type="spellEnd"/>
      <w:r w:rsidRPr="00DC15A1">
        <w:rPr>
          <w:rFonts w:ascii="Times New Roman" w:hAnsi="Times New Roman" w:cs="Times New Roman"/>
          <w:color w:val="000000"/>
          <w:sz w:val="20"/>
          <w:szCs w:val="20"/>
          <w:shd w:val="clear" w:color="auto" w:fill="FFFFFF"/>
        </w:rPr>
        <w:t>, “Simultaneous Lateral Interbody Fusion and Pedicle Screws (SLIPS) with CT-guided Navigation,” Clinical Neurology and Neurosurgery, 2018</w:t>
      </w:r>
    </w:p>
    <w:p w14:paraId="5CCB2C07" w14:textId="130784F2" w:rsidR="00DC15A1" w:rsidRPr="00DC15A1" w:rsidRDefault="00DC15A1" w:rsidP="001B6597">
      <w:pPr>
        <w:pStyle w:val="Paragrafoelenco"/>
        <w:numPr>
          <w:ilvl w:val="0"/>
          <w:numId w:val="4"/>
        </w:numPr>
        <w:tabs>
          <w:tab w:val="left" w:pos="384"/>
        </w:tabs>
        <w:ind w:right="117"/>
        <w:rPr>
          <w:rFonts w:ascii="Times New Roman" w:hAnsi="Times New Roman" w:cs="Times New Roman"/>
          <w:sz w:val="20"/>
          <w:szCs w:val="20"/>
        </w:rPr>
      </w:pPr>
      <w:proofErr w:type="spellStart"/>
      <w:r w:rsidRPr="00DC15A1">
        <w:rPr>
          <w:rFonts w:ascii="Times New Roman" w:hAnsi="Times New Roman" w:cs="Times New Roman"/>
          <w:color w:val="000000"/>
          <w:sz w:val="20"/>
          <w:szCs w:val="20"/>
          <w:shd w:val="clear" w:color="auto" w:fill="FFFFFF"/>
        </w:rPr>
        <w:t>Doniel</w:t>
      </w:r>
      <w:proofErr w:type="spellEnd"/>
      <w:r w:rsidRPr="00DC15A1">
        <w:rPr>
          <w:rFonts w:ascii="Times New Roman" w:hAnsi="Times New Roman" w:cs="Times New Roman"/>
          <w:color w:val="000000"/>
          <w:sz w:val="20"/>
          <w:szCs w:val="20"/>
          <w:shd w:val="clear" w:color="auto" w:fill="FFFFFF"/>
        </w:rPr>
        <w:t xml:space="preserve"> </w:t>
      </w:r>
      <w:proofErr w:type="spellStart"/>
      <w:r w:rsidRPr="00DC15A1">
        <w:rPr>
          <w:rFonts w:ascii="Times New Roman" w:hAnsi="Times New Roman" w:cs="Times New Roman"/>
          <w:color w:val="000000"/>
          <w:sz w:val="20"/>
          <w:szCs w:val="20"/>
          <w:shd w:val="clear" w:color="auto" w:fill="FFFFFF"/>
        </w:rPr>
        <w:t>Drazin</w:t>
      </w:r>
      <w:proofErr w:type="spellEnd"/>
      <w:r w:rsidRPr="00DC15A1">
        <w:rPr>
          <w:rFonts w:ascii="Times New Roman" w:hAnsi="Times New Roman" w:cs="Times New Roman"/>
          <w:color w:val="000000"/>
          <w:sz w:val="20"/>
          <w:szCs w:val="20"/>
          <w:shd w:val="clear" w:color="auto" w:fill="FFFFFF"/>
        </w:rPr>
        <w:t>, Terrence T. Kim, and J. Patrick Johnson, “Simultaneous Lateral Interbody Fusion and Posterior Percutaneous Instrumentation: Early Experience and Technical Considerations,” BioMed Research International, vol. 2015, Article ID 458284, 8 pages, 2015</w:t>
      </w:r>
    </w:p>
    <w:p w14:paraId="2283E46C" w14:textId="30153295" w:rsidR="00DC15A1" w:rsidRPr="00DC15A1" w:rsidRDefault="00DC15A1" w:rsidP="001B6597">
      <w:pPr>
        <w:pStyle w:val="Paragrafoelenco"/>
        <w:numPr>
          <w:ilvl w:val="0"/>
          <w:numId w:val="4"/>
        </w:numPr>
        <w:tabs>
          <w:tab w:val="left" w:pos="384"/>
        </w:tabs>
        <w:ind w:right="117"/>
        <w:rPr>
          <w:rFonts w:ascii="Times New Roman" w:hAnsi="Times New Roman" w:cs="Times New Roman"/>
          <w:sz w:val="20"/>
          <w:szCs w:val="20"/>
        </w:rPr>
      </w:pPr>
      <w:r w:rsidRPr="00DC15A1">
        <w:rPr>
          <w:rFonts w:ascii="Times New Roman" w:hAnsi="Times New Roman" w:cs="Times New Roman"/>
          <w:color w:val="111111"/>
          <w:sz w:val="20"/>
          <w:szCs w:val="20"/>
          <w:shd w:val="clear" w:color="auto" w:fill="FBFBF3"/>
        </w:rPr>
        <w:t xml:space="preserve">Nomura, H., Yamashita, A., Watanabe, T., &amp; </w:t>
      </w:r>
      <w:proofErr w:type="spellStart"/>
      <w:r w:rsidRPr="00DC15A1">
        <w:rPr>
          <w:rFonts w:ascii="Times New Roman" w:hAnsi="Times New Roman" w:cs="Times New Roman"/>
          <w:color w:val="111111"/>
          <w:sz w:val="20"/>
          <w:szCs w:val="20"/>
          <w:shd w:val="clear" w:color="auto" w:fill="FBFBF3"/>
        </w:rPr>
        <w:t>Shirasawa</w:t>
      </w:r>
      <w:proofErr w:type="spellEnd"/>
      <w:r w:rsidRPr="00DC15A1">
        <w:rPr>
          <w:rFonts w:ascii="Times New Roman" w:hAnsi="Times New Roman" w:cs="Times New Roman"/>
          <w:color w:val="111111"/>
          <w:sz w:val="20"/>
          <w:szCs w:val="20"/>
          <w:shd w:val="clear" w:color="auto" w:fill="FBFBF3"/>
        </w:rPr>
        <w:t>, K. 2019 Jun 17. Quantitative analysis of indirect decompression in extreme lateral interbody fusion and posterior spinal fusion with a percutaneous pedicle screw system for lumbar spinal stenosis. Journal of Spine Surgery</w:t>
      </w:r>
    </w:p>
    <w:p w14:paraId="38424802" w14:textId="307EEC00" w:rsidR="00DC15A1" w:rsidRPr="00DC15A1" w:rsidRDefault="00DC15A1" w:rsidP="001B6597">
      <w:pPr>
        <w:pStyle w:val="Paragrafoelenco"/>
        <w:numPr>
          <w:ilvl w:val="0"/>
          <w:numId w:val="4"/>
        </w:numPr>
        <w:tabs>
          <w:tab w:val="left" w:pos="384"/>
        </w:tabs>
        <w:ind w:right="117"/>
        <w:rPr>
          <w:rFonts w:ascii="Times New Roman" w:hAnsi="Times New Roman" w:cs="Times New Roman"/>
          <w:sz w:val="20"/>
          <w:szCs w:val="20"/>
        </w:rPr>
      </w:pPr>
      <w:proofErr w:type="spellStart"/>
      <w:r w:rsidRPr="00DC15A1">
        <w:rPr>
          <w:rFonts w:ascii="Times New Roman" w:hAnsi="Times New Roman" w:cs="Times New Roman"/>
          <w:color w:val="333333"/>
          <w:sz w:val="20"/>
          <w:szCs w:val="20"/>
          <w:shd w:val="clear" w:color="auto" w:fill="FFFFFF"/>
        </w:rPr>
        <w:t>Ozgur</w:t>
      </w:r>
      <w:proofErr w:type="spellEnd"/>
      <w:r w:rsidRPr="00DC15A1">
        <w:rPr>
          <w:rFonts w:ascii="Times New Roman" w:hAnsi="Times New Roman" w:cs="Times New Roman"/>
          <w:color w:val="333333"/>
          <w:sz w:val="20"/>
          <w:szCs w:val="20"/>
          <w:shd w:val="clear" w:color="auto" w:fill="FFFFFF"/>
        </w:rPr>
        <w:t xml:space="preserve"> BM, Aryan HE, </w:t>
      </w:r>
      <w:proofErr w:type="spellStart"/>
      <w:r w:rsidRPr="00DC15A1">
        <w:rPr>
          <w:rFonts w:ascii="Times New Roman" w:hAnsi="Times New Roman" w:cs="Times New Roman"/>
          <w:color w:val="333333"/>
          <w:sz w:val="20"/>
          <w:szCs w:val="20"/>
          <w:shd w:val="clear" w:color="auto" w:fill="FFFFFF"/>
        </w:rPr>
        <w:t>Pimenta</w:t>
      </w:r>
      <w:proofErr w:type="spellEnd"/>
      <w:r w:rsidRPr="00DC15A1">
        <w:rPr>
          <w:rFonts w:ascii="Times New Roman" w:hAnsi="Times New Roman" w:cs="Times New Roman"/>
          <w:color w:val="333333"/>
          <w:sz w:val="20"/>
          <w:szCs w:val="20"/>
          <w:shd w:val="clear" w:color="auto" w:fill="FFFFFF"/>
        </w:rPr>
        <w:t xml:space="preserve"> L, et al. Extreme lateral interbody fusion (XLIF): a novel surgical technique for anterior lumbar interbody fusion. Spine J </w:t>
      </w:r>
      <w:proofErr w:type="gramStart"/>
      <w:r w:rsidRPr="00DC15A1">
        <w:rPr>
          <w:rFonts w:ascii="Times New Roman" w:hAnsi="Times New Roman" w:cs="Times New Roman"/>
          <w:color w:val="333333"/>
          <w:sz w:val="20"/>
          <w:szCs w:val="20"/>
          <w:shd w:val="clear" w:color="auto" w:fill="FFFFFF"/>
        </w:rPr>
        <w:t>2006;6:435</w:t>
      </w:r>
      <w:proofErr w:type="gramEnd"/>
      <w:r w:rsidRPr="00DC15A1">
        <w:rPr>
          <w:rFonts w:ascii="Times New Roman" w:hAnsi="Times New Roman" w:cs="Times New Roman"/>
          <w:color w:val="333333"/>
          <w:sz w:val="20"/>
          <w:szCs w:val="20"/>
          <w:shd w:val="clear" w:color="auto" w:fill="FFFFFF"/>
        </w:rPr>
        <w:t>-43</w:t>
      </w:r>
    </w:p>
    <w:p w14:paraId="0B3BEC9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4F060BB" w14:textId="77777777" w:rsidR="00AE3E37" w:rsidRPr="00D62425" w:rsidRDefault="00D62425">
      <w:pPr>
        <w:pStyle w:val="Corpotesto"/>
        <w:rPr>
          <w:rFonts w:ascii="Calibri"/>
          <w:b/>
          <w:sz w:val="20"/>
        </w:rPr>
      </w:pPr>
      <w:r>
        <w:rPr>
          <w:rFonts w:ascii="Calibri"/>
          <w:sz w:val="20"/>
        </w:rPr>
        <w:t xml:space="preserve">                 </w:t>
      </w:r>
      <w:r w:rsidRPr="00D62425">
        <w:rPr>
          <w:rFonts w:ascii="Calibri"/>
          <w:b/>
          <w:sz w:val="20"/>
        </w:rPr>
        <w:t>Photograph</w:t>
      </w:r>
    </w:p>
    <w:p w14:paraId="64BBB3C8"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2E0EA729" wp14:editId="032FA2D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97CA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FECF54C" w14:textId="65E85AF2" w:rsidR="00AE3E37" w:rsidRDefault="008756E6" w:rsidP="00404E5B">
      <w:pPr>
        <w:spacing w:before="92"/>
        <w:ind w:right="4234"/>
        <w:rPr>
          <w:rFonts w:ascii="Arial"/>
        </w:rPr>
      </w:pPr>
      <w:r>
        <w:rPr>
          <w:noProof/>
        </w:rPr>
        <w:t xml:space="preserve">              </w:t>
      </w:r>
      <w:r w:rsidR="00DC15A1">
        <w:rPr>
          <w:noProof/>
        </w:rPr>
        <w:drawing>
          <wp:inline distT="0" distB="0" distL="0" distR="0" wp14:anchorId="1D70471E" wp14:editId="14662DFD">
            <wp:extent cx="537930" cy="99822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9156" cy="1019051"/>
                    </a:xfrm>
                    <a:prstGeom prst="rect">
                      <a:avLst/>
                    </a:prstGeom>
                    <a:noFill/>
                    <a:ln>
                      <a:noFill/>
                    </a:ln>
                  </pic:spPr>
                </pic:pic>
              </a:graphicData>
            </a:graphic>
          </wp:inline>
        </w:drawing>
      </w:r>
    </w:p>
    <w:p w14:paraId="108B1ED5" w14:textId="3894A13A" w:rsidR="00AE3E37" w:rsidRDefault="00DC15A1">
      <w:pPr>
        <w:spacing w:before="41" w:line="154" w:lineRule="exact"/>
        <w:ind w:left="213" w:right="231"/>
        <w:jc w:val="both"/>
        <w:rPr>
          <w:rFonts w:ascii="Arial"/>
          <w:sz w:val="14"/>
        </w:rPr>
      </w:pPr>
      <w:r>
        <w:rPr>
          <w:rFonts w:ascii="Arial"/>
          <w:sz w:val="14"/>
        </w:rPr>
        <w:t>Dr. Josip Buric is a specialist in Neurosurgery with sub-</w:t>
      </w:r>
      <w:proofErr w:type="spellStart"/>
      <w:r>
        <w:rPr>
          <w:rFonts w:ascii="Arial"/>
          <w:sz w:val="14"/>
        </w:rPr>
        <w:t>speciality</w:t>
      </w:r>
      <w:proofErr w:type="spellEnd"/>
      <w:r>
        <w:rPr>
          <w:rFonts w:ascii="Arial"/>
          <w:sz w:val="14"/>
        </w:rPr>
        <w:t xml:space="preserve"> in spine Surgery. Has performed more then 5000 surgical procedures in the last 22 years of activity in spinal surgery. Masters the degenerative pathologies as well as adult deformities using traditional and minimally invasive techniques. </w:t>
      </w:r>
    </w:p>
    <w:p w14:paraId="442A8A06" w14:textId="107C3542" w:rsidR="00AE3E37" w:rsidRDefault="00A9710C">
      <w:pPr>
        <w:spacing w:before="62"/>
        <w:ind w:left="4217" w:right="4235"/>
        <w:jc w:val="center"/>
        <w:rPr>
          <w:rFonts w:ascii="Arial"/>
          <w:sz w:val="14"/>
        </w:rPr>
      </w:pPr>
      <w:r>
        <w:rPr>
          <w:rFonts w:ascii="Arial"/>
          <w:sz w:val="14"/>
        </w:rPr>
        <w:t xml:space="preserve">Email: </w:t>
      </w:r>
      <w:r w:rsidR="00DC15A1">
        <w:rPr>
          <w:rFonts w:ascii="Arial"/>
          <w:sz w:val="14"/>
        </w:rPr>
        <w:t>joburic77@gmail.com</w:t>
      </w:r>
      <w:hyperlink r:id="rId10" w:history="1"/>
    </w:p>
    <w:p w14:paraId="2EFDEE4F" w14:textId="77777777" w:rsidR="00AE3E37" w:rsidRDefault="00292ED9">
      <w:pPr>
        <w:pStyle w:val="Corpotes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93DB09F" wp14:editId="3EAD97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5A02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EAC1647" w14:textId="77777777" w:rsidR="00AE3E37" w:rsidRDefault="00AE3E37">
      <w:pPr>
        <w:pStyle w:val="Corpotesto"/>
        <w:rPr>
          <w:rFonts w:ascii="Arial"/>
          <w:sz w:val="20"/>
        </w:rPr>
      </w:pPr>
    </w:p>
    <w:p w14:paraId="0ADF89DF" w14:textId="77777777" w:rsidR="00AE3E37" w:rsidRDefault="00AE3E37">
      <w:pPr>
        <w:pStyle w:val="Corpotesto"/>
        <w:rPr>
          <w:rFonts w:ascii="Arial"/>
          <w:sz w:val="20"/>
        </w:rPr>
      </w:pPr>
    </w:p>
    <w:p w14:paraId="3CB8EEF4" w14:textId="77777777" w:rsidR="00AE3E37" w:rsidRDefault="00AE3E37">
      <w:pPr>
        <w:pStyle w:val="Corpotesto"/>
        <w:spacing w:before="7"/>
        <w:rPr>
          <w:rFonts w:ascii="Arial"/>
          <w:sz w:val="29"/>
        </w:rPr>
      </w:pPr>
    </w:p>
    <w:p w14:paraId="1DB3D04C" w14:textId="77777777" w:rsidR="00AE3E37" w:rsidRPr="00B21A57" w:rsidRDefault="00A9710C">
      <w:pPr>
        <w:spacing w:before="39"/>
        <w:ind w:left="100"/>
        <w:rPr>
          <w:rFonts w:ascii="Minion Pro"/>
          <w:b/>
          <w:sz w:val="20"/>
        </w:rPr>
      </w:pPr>
      <w:r w:rsidRPr="00B21A57">
        <w:rPr>
          <w:rFonts w:ascii="Minion Pro"/>
          <w:b/>
          <w:sz w:val="20"/>
        </w:rPr>
        <w:t>Notes/Comments:</w:t>
      </w:r>
    </w:p>
    <w:p w14:paraId="164ABC4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C264410"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46FBD" w14:textId="77777777" w:rsidR="00110EC1" w:rsidRDefault="00110EC1">
      <w:r>
        <w:separator/>
      </w:r>
    </w:p>
  </w:endnote>
  <w:endnote w:type="continuationSeparator" w:id="0">
    <w:p w14:paraId="7D8F31DC" w14:textId="77777777" w:rsidR="00110EC1" w:rsidRDefault="00110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F00CC"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B673CBC" wp14:editId="6291C5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8992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381B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73CB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698992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7381B7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D4EB060" wp14:editId="1ED10F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B21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8FDB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4EB06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DDB210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8FDBF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55D6BD0" wp14:editId="7BFDED8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2E0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79BD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D6BD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2A2E0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D79BD5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C6EC6" w14:textId="77777777" w:rsidR="00110EC1" w:rsidRDefault="00110EC1">
      <w:r>
        <w:separator/>
      </w:r>
    </w:p>
  </w:footnote>
  <w:footnote w:type="continuationSeparator" w:id="0">
    <w:p w14:paraId="74D44576" w14:textId="77777777" w:rsidR="00110EC1" w:rsidRDefault="00110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EA96B"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9CBE6AE" wp14:editId="6E5D5E4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EC55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BE6A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78EC55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EF6A50F" wp14:editId="2726ED3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66259"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87DA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6A50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3D66259"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87DA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9E5B7B"/>
    <w:multiLevelType w:val="hybridMultilevel"/>
    <w:tmpl w:val="6ADCFE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10EC1"/>
    <w:rsid w:val="001263DF"/>
    <w:rsid w:val="001B6597"/>
    <w:rsid w:val="001E763C"/>
    <w:rsid w:val="00292ED9"/>
    <w:rsid w:val="00314AFB"/>
    <w:rsid w:val="003B76D9"/>
    <w:rsid w:val="00404E5B"/>
    <w:rsid w:val="00414F7B"/>
    <w:rsid w:val="004355DC"/>
    <w:rsid w:val="004749B4"/>
    <w:rsid w:val="00494130"/>
    <w:rsid w:val="004C4728"/>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C15A1"/>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028AC"/>
  <w15:docId w15:val="{A1609DD6-2E54-4103-9127-ECF41F994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537</Words>
  <Characters>3064</Characters>
  <Application>Microsoft Office Word</Application>
  <DocSecurity>0</DocSecurity>
  <Lines>25</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josip buric</cp:lastModifiedBy>
  <cp:revision>2</cp:revision>
  <dcterms:created xsi:type="dcterms:W3CDTF">2019-12-13T16:41:00Z</dcterms:created>
  <dcterms:modified xsi:type="dcterms:W3CDTF">2019-12-13T16:41:00Z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