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55D83B" w14:textId="77777777" w:rsidR="00044DA4" w:rsidRPr="00044DA4" w:rsidRDefault="00044DA4" w:rsidP="00B600B7">
      <w:pPr>
        <w:pStyle w:val="NormalWeb"/>
        <w:shd w:val="clear" w:color="auto" w:fill="FFFFFF"/>
        <w:spacing w:line="276" w:lineRule="auto"/>
        <w:jc w:val="center"/>
        <w:rPr>
          <w:rFonts w:asciiTheme="minorHAnsi" w:hAnsiTheme="minorHAnsi" w:cstheme="minorHAnsi"/>
          <w:b/>
          <w:sz w:val="36"/>
          <w:szCs w:val="28"/>
        </w:rPr>
      </w:pPr>
      <w:r w:rsidRPr="00044DA4">
        <w:rPr>
          <w:rFonts w:asciiTheme="minorHAnsi" w:hAnsiTheme="minorHAnsi" w:cstheme="minorHAnsi"/>
          <w:b/>
          <w:sz w:val="36"/>
          <w:szCs w:val="28"/>
        </w:rPr>
        <w:t>Cervical Spine Tuberculosis: Conservative management  and its outcome. a prospective study of 84 patients</w:t>
      </w:r>
    </w:p>
    <w:p w14:paraId="08E8AE87" w14:textId="77777777" w:rsidR="00B600B7" w:rsidRPr="00B600B7" w:rsidRDefault="00044DA4" w:rsidP="00B600B7">
      <w:pPr>
        <w:pStyle w:val="NormalWeb"/>
        <w:spacing w:line="276" w:lineRule="auto"/>
        <w:jc w:val="both"/>
        <w:rPr>
          <w:rFonts w:asciiTheme="minorHAnsi" w:hAnsiTheme="minorHAnsi" w:cstheme="minorHAnsi"/>
          <w:color w:val="211E1E"/>
        </w:rPr>
      </w:pPr>
      <w:r w:rsidRPr="00B600B7">
        <w:rPr>
          <w:rFonts w:asciiTheme="minorHAnsi" w:hAnsiTheme="minorHAnsi" w:cstheme="minorHAnsi"/>
          <w:b/>
        </w:rPr>
        <w:t>Abstract:</w:t>
      </w:r>
      <w:r w:rsidRPr="00B600B7">
        <w:rPr>
          <w:rFonts w:asciiTheme="minorHAnsi" w:hAnsiTheme="minorHAnsi" w:cstheme="minorHAnsi"/>
        </w:rPr>
        <w:t xml:space="preserve"> Tuberculosis of the spine is both the most common and most dangerous form of TB infection. Cervical tuberculosis is less frequent than thoracic and lumber spine. Delay in diagnosis and management involve spinal cord and leads to </w:t>
      </w:r>
      <w:proofErr w:type="spellStart"/>
      <w:r w:rsidRPr="00B600B7">
        <w:rPr>
          <w:rFonts w:asciiTheme="minorHAnsi" w:hAnsiTheme="minorHAnsi" w:cstheme="minorHAnsi"/>
        </w:rPr>
        <w:t>neurodeficit</w:t>
      </w:r>
      <w:proofErr w:type="spellEnd"/>
      <w:r w:rsidRPr="00B600B7">
        <w:rPr>
          <w:rFonts w:asciiTheme="minorHAnsi" w:hAnsiTheme="minorHAnsi" w:cstheme="minorHAnsi"/>
        </w:rPr>
        <w:t xml:space="preserve"> and spinal deformity.</w:t>
      </w:r>
      <w:r w:rsidRPr="00B600B7">
        <w:rPr>
          <w:rFonts w:asciiTheme="minorHAnsi" w:hAnsiTheme="minorHAnsi" w:cstheme="minorHAnsi"/>
          <w:color w:val="211E1E"/>
        </w:rPr>
        <w:t xml:space="preserve"> In this prospective </w:t>
      </w:r>
      <w:proofErr w:type="spellStart"/>
      <w:r w:rsidRPr="00B600B7">
        <w:rPr>
          <w:rFonts w:asciiTheme="minorHAnsi" w:hAnsiTheme="minorHAnsi" w:cstheme="minorHAnsi"/>
          <w:color w:val="211E1E"/>
        </w:rPr>
        <w:t>study,our</w:t>
      </w:r>
      <w:proofErr w:type="spellEnd"/>
      <w:r w:rsidRPr="00B600B7">
        <w:rPr>
          <w:rFonts w:asciiTheme="minorHAnsi" w:hAnsiTheme="minorHAnsi" w:cstheme="minorHAnsi"/>
          <w:color w:val="211E1E"/>
        </w:rPr>
        <w:t xml:space="preserve"> objective is to evaluate the clinical and imaging predictors of outcome in conservatively managed 56 patients.</w:t>
      </w:r>
    </w:p>
    <w:p w14:paraId="3A79BDFF" w14:textId="4343538A" w:rsidR="00044DA4" w:rsidRPr="00B600B7" w:rsidRDefault="00044DA4" w:rsidP="00B600B7">
      <w:pPr>
        <w:pStyle w:val="NormalWeb"/>
        <w:spacing w:line="276" w:lineRule="auto"/>
        <w:jc w:val="both"/>
        <w:rPr>
          <w:rFonts w:asciiTheme="minorHAnsi" w:hAnsiTheme="minorHAnsi" w:cstheme="minorHAnsi"/>
          <w:color w:val="211E1E"/>
        </w:rPr>
      </w:pPr>
      <w:r w:rsidRPr="00B600B7">
        <w:rPr>
          <w:rFonts w:asciiTheme="minorHAnsi" w:hAnsiTheme="minorHAnsi" w:cstheme="minorHAnsi"/>
          <w:b/>
        </w:rPr>
        <w:t>Methods:</w:t>
      </w:r>
      <w:r w:rsidRPr="00B600B7">
        <w:rPr>
          <w:rFonts w:asciiTheme="minorHAnsi" w:hAnsiTheme="minorHAnsi" w:cstheme="minorHAnsi"/>
        </w:rPr>
        <w:t xml:space="preserve"> Between 2016 to 2018  84 patients of cervical spine tuberculosis were included in this study. Patients were subjected to a detailed clinical evaluation and radiologically. All Patients were treated with </w:t>
      </w:r>
      <w:proofErr w:type="spellStart"/>
      <w:r w:rsidRPr="00B600B7">
        <w:rPr>
          <w:rFonts w:asciiTheme="minorHAnsi" w:hAnsiTheme="minorHAnsi" w:cstheme="minorHAnsi"/>
        </w:rPr>
        <w:t>antituberculosis</w:t>
      </w:r>
      <w:proofErr w:type="spellEnd"/>
      <w:r w:rsidRPr="00B600B7">
        <w:rPr>
          <w:rFonts w:asciiTheme="minorHAnsi" w:hAnsiTheme="minorHAnsi" w:cstheme="minorHAnsi"/>
        </w:rPr>
        <w:t xml:space="preserve"> treatment and were followed up for 18 months. The SHAH-Modified Barthel index (MBI) was used to assess the disability. Good outcome was defined as MBI 412 and poor outcome as MBI p12. Clinical and imaging characteristics were used to </w:t>
      </w:r>
      <w:proofErr w:type="spellStart"/>
      <w:r w:rsidRPr="00B600B7">
        <w:rPr>
          <w:rFonts w:asciiTheme="minorHAnsi" w:hAnsiTheme="minorHAnsi" w:cstheme="minorHAnsi"/>
        </w:rPr>
        <w:t>analyze</w:t>
      </w:r>
      <w:proofErr w:type="spellEnd"/>
      <w:r w:rsidRPr="00B600B7">
        <w:rPr>
          <w:rFonts w:asciiTheme="minorHAnsi" w:hAnsiTheme="minorHAnsi" w:cstheme="minorHAnsi"/>
        </w:rPr>
        <w:t xml:space="preserve"> the predictors of outcome, using univariate and multivariate analysis.</w:t>
      </w:r>
    </w:p>
    <w:tbl>
      <w:tblPr>
        <w:tblpPr w:leftFromText="180" w:rightFromText="180" w:vertAnchor="text" w:horzAnchor="margin" w:tblpY="1843"/>
        <w:tblW w:w="9217" w:type="dxa"/>
        <w:tblLook w:val="04A0" w:firstRow="1" w:lastRow="0" w:firstColumn="1" w:lastColumn="0" w:noHBand="0" w:noVBand="1"/>
      </w:tblPr>
      <w:tblGrid>
        <w:gridCol w:w="3783"/>
        <w:gridCol w:w="559"/>
        <w:gridCol w:w="849"/>
        <w:gridCol w:w="559"/>
        <w:gridCol w:w="674"/>
        <w:gridCol w:w="559"/>
        <w:gridCol w:w="849"/>
        <w:gridCol w:w="559"/>
        <w:gridCol w:w="848"/>
      </w:tblGrid>
      <w:tr w:rsidR="00B600B7" w:rsidRPr="00FB6328" w14:paraId="1E4D7E93" w14:textId="77777777" w:rsidTr="00B600B7">
        <w:trPr>
          <w:trHeight w:val="633"/>
        </w:trPr>
        <w:tc>
          <w:tcPr>
            <w:tcW w:w="9217" w:type="dxa"/>
            <w:gridSpan w:val="9"/>
            <w:tcBorders>
              <w:bottom w:val="single" w:sz="4" w:space="0" w:color="auto"/>
            </w:tcBorders>
            <w:shd w:val="clear" w:color="auto" w:fill="auto"/>
            <w:noWrap/>
            <w:vAlign w:val="center"/>
            <w:hideMark/>
          </w:tcPr>
          <w:p w14:paraId="449B8BC3" w14:textId="77777777" w:rsidR="00B600B7" w:rsidRPr="00FB6328" w:rsidRDefault="00B600B7" w:rsidP="00B600B7">
            <w:pPr>
              <w:spacing w:line="276" w:lineRule="auto"/>
              <w:jc w:val="center"/>
              <w:rPr>
                <w:rFonts w:eastAsia="Times New Roman" w:cstheme="minorHAnsi"/>
                <w:b/>
                <w:bCs/>
                <w:color w:val="211E1E"/>
                <w:lang w:val="en-IN"/>
              </w:rPr>
            </w:pPr>
            <w:r w:rsidRPr="00FB6328">
              <w:rPr>
                <w:rFonts w:eastAsia="Times New Roman" w:cstheme="minorHAnsi"/>
                <w:b/>
                <w:bCs/>
                <w:color w:val="211E1E"/>
                <w:lang w:val="en-IN"/>
              </w:rPr>
              <w:t>Outcome assessment according to cervical vertebral segment involvement (n=76)</w:t>
            </w:r>
          </w:p>
        </w:tc>
      </w:tr>
      <w:tr w:rsidR="00B600B7" w:rsidRPr="00B600B7" w14:paraId="78E7204A" w14:textId="77777777" w:rsidTr="00B600B7">
        <w:trPr>
          <w:trHeight w:val="362"/>
        </w:trPr>
        <w:tc>
          <w:tcPr>
            <w:tcW w:w="3783" w:type="dxa"/>
            <w:vMerge w:val="restart"/>
            <w:tcBorders>
              <w:top w:val="single" w:sz="4" w:space="0" w:color="auto"/>
              <w:left w:val="single" w:sz="4" w:space="0" w:color="auto"/>
              <w:right w:val="single" w:sz="4" w:space="0" w:color="auto"/>
            </w:tcBorders>
            <w:shd w:val="clear" w:color="auto" w:fill="auto"/>
            <w:noWrap/>
            <w:vAlign w:val="center"/>
            <w:hideMark/>
          </w:tcPr>
          <w:p w14:paraId="1DFD92DD" w14:textId="77777777" w:rsidR="00B600B7" w:rsidRPr="00FB6328" w:rsidRDefault="00B600B7" w:rsidP="00B600B7">
            <w:pPr>
              <w:spacing w:line="276" w:lineRule="auto"/>
              <w:jc w:val="center"/>
              <w:rPr>
                <w:rFonts w:eastAsia="Times New Roman" w:cstheme="minorHAnsi"/>
                <w:color w:val="211E1E"/>
                <w:lang w:val="en-IN"/>
              </w:rPr>
            </w:pPr>
            <w:r w:rsidRPr="00FB6328">
              <w:rPr>
                <w:rFonts w:eastAsia="Times New Roman" w:cstheme="minorHAnsi"/>
                <w:color w:val="211E1E"/>
                <w:lang w:val="en-IN"/>
              </w:rPr>
              <w:t>Groups</w:t>
            </w:r>
          </w:p>
        </w:tc>
        <w:tc>
          <w:tcPr>
            <w:tcW w:w="543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F7EA60"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Modified Barthel index (MBI)</w:t>
            </w:r>
          </w:p>
        </w:tc>
      </w:tr>
      <w:tr w:rsidR="00B600B7" w:rsidRPr="00B600B7" w14:paraId="36A49370" w14:textId="77777777" w:rsidTr="00B600B7">
        <w:trPr>
          <w:trHeight w:val="362"/>
        </w:trPr>
        <w:tc>
          <w:tcPr>
            <w:tcW w:w="3783" w:type="dxa"/>
            <w:vMerge/>
            <w:tcBorders>
              <w:top w:val="single" w:sz="4" w:space="0" w:color="auto"/>
              <w:left w:val="single" w:sz="4" w:space="0" w:color="auto"/>
              <w:right w:val="single" w:sz="4" w:space="0" w:color="auto"/>
            </w:tcBorders>
            <w:vAlign w:val="center"/>
            <w:hideMark/>
          </w:tcPr>
          <w:p w14:paraId="55CEB8A8" w14:textId="77777777" w:rsidR="00B600B7" w:rsidRPr="00FB6328" w:rsidRDefault="00B600B7" w:rsidP="00B600B7">
            <w:pPr>
              <w:spacing w:line="276" w:lineRule="auto"/>
              <w:jc w:val="center"/>
              <w:rPr>
                <w:rFonts w:eastAsia="Times New Roman" w:cstheme="minorHAnsi"/>
                <w:color w:val="211E1E"/>
                <w:lang w:val="en-IN"/>
              </w:rPr>
            </w:pPr>
          </w:p>
        </w:tc>
        <w:tc>
          <w:tcPr>
            <w:tcW w:w="2627"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EF5F2"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Baseline MBI</w:t>
            </w:r>
          </w:p>
        </w:tc>
        <w:tc>
          <w:tcPr>
            <w:tcW w:w="2807"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7E3AD9" w14:textId="77777777" w:rsidR="00B600B7" w:rsidRPr="00FB6328" w:rsidRDefault="00B600B7" w:rsidP="00B600B7">
            <w:pPr>
              <w:spacing w:line="276" w:lineRule="auto"/>
              <w:jc w:val="center"/>
              <w:rPr>
                <w:rFonts w:eastAsia="Times New Roman" w:cstheme="minorHAnsi"/>
                <w:color w:val="211E1E"/>
                <w:lang w:val="en-IN"/>
              </w:rPr>
            </w:pPr>
            <w:r w:rsidRPr="00FB6328">
              <w:rPr>
                <w:rFonts w:eastAsia="Times New Roman" w:cstheme="minorHAnsi"/>
                <w:color w:val="211E1E"/>
                <w:lang w:val="en-IN"/>
              </w:rPr>
              <w:t>MBI at 18 months</w:t>
            </w:r>
          </w:p>
        </w:tc>
      </w:tr>
      <w:tr w:rsidR="00B600B7" w:rsidRPr="00B600B7" w14:paraId="4C6610DC" w14:textId="77777777" w:rsidTr="00B600B7">
        <w:trPr>
          <w:trHeight w:val="362"/>
        </w:trPr>
        <w:tc>
          <w:tcPr>
            <w:tcW w:w="3783" w:type="dxa"/>
            <w:vMerge/>
            <w:tcBorders>
              <w:top w:val="single" w:sz="4" w:space="0" w:color="auto"/>
              <w:left w:val="single" w:sz="4" w:space="0" w:color="auto"/>
              <w:right w:val="single" w:sz="4" w:space="0" w:color="auto"/>
            </w:tcBorders>
            <w:vAlign w:val="center"/>
            <w:hideMark/>
          </w:tcPr>
          <w:p w14:paraId="62B90C26" w14:textId="77777777" w:rsidR="00B600B7" w:rsidRPr="00FB6328" w:rsidRDefault="00B600B7" w:rsidP="00B600B7">
            <w:pPr>
              <w:spacing w:line="276" w:lineRule="auto"/>
              <w:jc w:val="center"/>
              <w:rPr>
                <w:rFonts w:eastAsia="Times New Roman" w:cstheme="minorHAnsi"/>
                <w:color w:val="211E1E"/>
                <w:lang w:val="en-IN"/>
              </w:rPr>
            </w:pP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3ED30"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0-12</w:t>
            </w:r>
          </w:p>
        </w:tc>
        <w:tc>
          <w:tcPr>
            <w:tcW w:w="122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F2D0B"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13-20</w:t>
            </w:r>
          </w:p>
        </w:tc>
        <w:tc>
          <w:tcPr>
            <w:tcW w:w="140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FDA55"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0-12</w:t>
            </w:r>
          </w:p>
        </w:tc>
        <w:tc>
          <w:tcPr>
            <w:tcW w:w="1406"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97D8D4"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13-20</w:t>
            </w:r>
          </w:p>
        </w:tc>
      </w:tr>
      <w:tr w:rsidR="00B600B7" w:rsidRPr="00B600B7" w14:paraId="13132A97" w14:textId="77777777" w:rsidTr="00B600B7">
        <w:trPr>
          <w:trHeight w:val="362"/>
        </w:trPr>
        <w:tc>
          <w:tcPr>
            <w:tcW w:w="3783" w:type="dxa"/>
            <w:tcBorders>
              <w:left w:val="single" w:sz="4" w:space="0" w:color="auto"/>
              <w:bottom w:val="single" w:sz="4" w:space="0" w:color="auto"/>
              <w:right w:val="single" w:sz="4" w:space="0" w:color="auto"/>
            </w:tcBorders>
            <w:shd w:val="clear" w:color="auto" w:fill="auto"/>
            <w:noWrap/>
            <w:vAlign w:val="center"/>
            <w:hideMark/>
          </w:tcPr>
          <w:p w14:paraId="02A1AB95" w14:textId="77777777" w:rsidR="00B600B7" w:rsidRPr="00FB6328" w:rsidRDefault="00B600B7" w:rsidP="00B600B7">
            <w:pPr>
              <w:spacing w:line="276" w:lineRule="auto"/>
              <w:jc w:val="center"/>
              <w:rPr>
                <w:rFonts w:eastAsia="Times New Roman" w:cstheme="minorHAnsi"/>
                <w:color w:val="000000"/>
                <w:lang w:val="en-IN"/>
              </w:rPr>
            </w:pPr>
          </w:p>
        </w:tc>
        <w:tc>
          <w:tcPr>
            <w:tcW w:w="552" w:type="dxa"/>
            <w:tcBorders>
              <w:top w:val="single" w:sz="4" w:space="0" w:color="auto"/>
              <w:left w:val="single" w:sz="4" w:space="0" w:color="auto"/>
              <w:bottom w:val="single" w:sz="4" w:space="0" w:color="auto"/>
              <w:right w:val="nil"/>
            </w:tcBorders>
            <w:shd w:val="clear" w:color="auto" w:fill="auto"/>
            <w:noWrap/>
            <w:vAlign w:val="center"/>
            <w:hideMark/>
          </w:tcPr>
          <w:p w14:paraId="0F401693"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No.</w:t>
            </w:r>
          </w:p>
        </w:tc>
        <w:tc>
          <w:tcPr>
            <w:tcW w:w="849" w:type="dxa"/>
            <w:tcBorders>
              <w:top w:val="single" w:sz="4" w:space="0" w:color="auto"/>
              <w:left w:val="nil"/>
              <w:bottom w:val="single" w:sz="4" w:space="0" w:color="auto"/>
              <w:right w:val="single" w:sz="4" w:space="0" w:color="auto"/>
            </w:tcBorders>
            <w:shd w:val="clear" w:color="auto" w:fill="auto"/>
            <w:noWrap/>
            <w:vAlign w:val="center"/>
            <w:hideMark/>
          </w:tcPr>
          <w:p w14:paraId="28AEB5A9"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w:t>
            </w:r>
          </w:p>
        </w:tc>
        <w:tc>
          <w:tcPr>
            <w:tcW w:w="552" w:type="dxa"/>
            <w:tcBorders>
              <w:top w:val="single" w:sz="4" w:space="0" w:color="auto"/>
              <w:left w:val="single" w:sz="4" w:space="0" w:color="auto"/>
              <w:bottom w:val="single" w:sz="4" w:space="0" w:color="auto"/>
              <w:right w:val="nil"/>
            </w:tcBorders>
            <w:shd w:val="clear" w:color="auto" w:fill="auto"/>
            <w:noWrap/>
            <w:vAlign w:val="center"/>
            <w:hideMark/>
          </w:tcPr>
          <w:p w14:paraId="517BDDF9"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No.</w:t>
            </w:r>
          </w:p>
        </w:tc>
        <w:tc>
          <w:tcPr>
            <w:tcW w:w="674" w:type="dxa"/>
            <w:tcBorders>
              <w:top w:val="single" w:sz="4" w:space="0" w:color="auto"/>
              <w:left w:val="nil"/>
              <w:bottom w:val="single" w:sz="4" w:space="0" w:color="auto"/>
              <w:right w:val="single" w:sz="4" w:space="0" w:color="auto"/>
            </w:tcBorders>
            <w:shd w:val="clear" w:color="auto" w:fill="auto"/>
            <w:noWrap/>
            <w:vAlign w:val="center"/>
            <w:hideMark/>
          </w:tcPr>
          <w:p w14:paraId="17FF8189"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w:t>
            </w:r>
          </w:p>
        </w:tc>
        <w:tc>
          <w:tcPr>
            <w:tcW w:w="552" w:type="dxa"/>
            <w:tcBorders>
              <w:top w:val="single" w:sz="4" w:space="0" w:color="auto"/>
              <w:left w:val="single" w:sz="4" w:space="0" w:color="auto"/>
              <w:bottom w:val="single" w:sz="4" w:space="0" w:color="auto"/>
              <w:right w:val="nil"/>
            </w:tcBorders>
            <w:shd w:val="clear" w:color="auto" w:fill="auto"/>
            <w:noWrap/>
            <w:vAlign w:val="center"/>
            <w:hideMark/>
          </w:tcPr>
          <w:p w14:paraId="401923B6"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No.</w:t>
            </w:r>
          </w:p>
        </w:tc>
        <w:tc>
          <w:tcPr>
            <w:tcW w:w="849" w:type="dxa"/>
            <w:tcBorders>
              <w:top w:val="single" w:sz="4" w:space="0" w:color="auto"/>
              <w:left w:val="nil"/>
              <w:bottom w:val="single" w:sz="4" w:space="0" w:color="auto"/>
              <w:right w:val="single" w:sz="4" w:space="0" w:color="auto"/>
            </w:tcBorders>
            <w:shd w:val="clear" w:color="auto" w:fill="auto"/>
            <w:noWrap/>
            <w:vAlign w:val="center"/>
            <w:hideMark/>
          </w:tcPr>
          <w:p w14:paraId="1F7BC6C6"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w:t>
            </w:r>
          </w:p>
        </w:tc>
        <w:tc>
          <w:tcPr>
            <w:tcW w:w="552" w:type="dxa"/>
            <w:tcBorders>
              <w:top w:val="single" w:sz="4" w:space="0" w:color="auto"/>
              <w:left w:val="single" w:sz="4" w:space="0" w:color="auto"/>
              <w:bottom w:val="single" w:sz="4" w:space="0" w:color="auto"/>
              <w:right w:val="nil"/>
            </w:tcBorders>
            <w:shd w:val="clear" w:color="auto" w:fill="auto"/>
            <w:noWrap/>
            <w:vAlign w:val="center"/>
            <w:hideMark/>
          </w:tcPr>
          <w:p w14:paraId="6A85629C"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No.</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14:paraId="1A24DBDB"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w:t>
            </w:r>
          </w:p>
        </w:tc>
      </w:tr>
      <w:tr w:rsidR="00B600B7" w:rsidRPr="00B600B7" w14:paraId="3732B461" w14:textId="77777777" w:rsidTr="00B600B7">
        <w:trPr>
          <w:trHeight w:val="362"/>
        </w:trPr>
        <w:tc>
          <w:tcPr>
            <w:tcW w:w="3783" w:type="dxa"/>
            <w:tcBorders>
              <w:top w:val="single" w:sz="4" w:space="0" w:color="auto"/>
              <w:left w:val="single" w:sz="4" w:space="0" w:color="auto"/>
              <w:bottom w:val="nil"/>
              <w:right w:val="single" w:sz="4" w:space="0" w:color="auto"/>
            </w:tcBorders>
            <w:shd w:val="clear" w:color="auto" w:fill="auto"/>
            <w:noWrap/>
            <w:vAlign w:val="center"/>
            <w:hideMark/>
          </w:tcPr>
          <w:p w14:paraId="6155A803" w14:textId="77777777" w:rsidR="00B600B7" w:rsidRPr="00FB6328" w:rsidRDefault="00B600B7" w:rsidP="00B600B7">
            <w:pPr>
              <w:spacing w:line="276" w:lineRule="auto"/>
              <w:rPr>
                <w:rFonts w:eastAsia="Times New Roman" w:cstheme="minorHAnsi"/>
                <w:color w:val="211E1E"/>
                <w:lang w:val="en-IN"/>
              </w:rPr>
            </w:pPr>
            <w:r w:rsidRPr="00FB6328">
              <w:rPr>
                <w:rFonts w:eastAsia="Times New Roman" w:cstheme="minorHAnsi"/>
                <w:color w:val="211E1E"/>
                <w:lang w:val="en-IN"/>
              </w:rPr>
              <w:t>C1 or C2 and below (n=10)</w:t>
            </w:r>
          </w:p>
        </w:tc>
        <w:tc>
          <w:tcPr>
            <w:tcW w:w="552" w:type="dxa"/>
            <w:tcBorders>
              <w:top w:val="single" w:sz="4" w:space="0" w:color="auto"/>
              <w:left w:val="nil"/>
              <w:bottom w:val="nil"/>
              <w:right w:val="nil"/>
            </w:tcBorders>
            <w:shd w:val="clear" w:color="auto" w:fill="auto"/>
            <w:noWrap/>
            <w:vAlign w:val="center"/>
            <w:hideMark/>
          </w:tcPr>
          <w:p w14:paraId="2E1B6E08"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6</w:t>
            </w:r>
          </w:p>
        </w:tc>
        <w:tc>
          <w:tcPr>
            <w:tcW w:w="849" w:type="dxa"/>
            <w:tcBorders>
              <w:top w:val="single" w:sz="4" w:space="0" w:color="auto"/>
              <w:left w:val="nil"/>
              <w:bottom w:val="nil"/>
              <w:right w:val="single" w:sz="4" w:space="0" w:color="auto"/>
            </w:tcBorders>
            <w:shd w:val="clear" w:color="auto" w:fill="auto"/>
            <w:noWrap/>
            <w:vAlign w:val="center"/>
            <w:hideMark/>
          </w:tcPr>
          <w:p w14:paraId="6D58F4CE"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60</w:t>
            </w:r>
          </w:p>
        </w:tc>
        <w:tc>
          <w:tcPr>
            <w:tcW w:w="552" w:type="dxa"/>
            <w:tcBorders>
              <w:top w:val="single" w:sz="4" w:space="0" w:color="auto"/>
              <w:left w:val="single" w:sz="4" w:space="0" w:color="auto"/>
              <w:bottom w:val="nil"/>
              <w:right w:val="nil"/>
            </w:tcBorders>
            <w:shd w:val="clear" w:color="auto" w:fill="auto"/>
            <w:noWrap/>
            <w:vAlign w:val="center"/>
            <w:hideMark/>
          </w:tcPr>
          <w:p w14:paraId="08B4831E"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4</w:t>
            </w:r>
          </w:p>
        </w:tc>
        <w:tc>
          <w:tcPr>
            <w:tcW w:w="674" w:type="dxa"/>
            <w:tcBorders>
              <w:top w:val="single" w:sz="4" w:space="0" w:color="auto"/>
              <w:left w:val="nil"/>
              <w:bottom w:val="nil"/>
              <w:right w:val="single" w:sz="4" w:space="0" w:color="auto"/>
            </w:tcBorders>
            <w:shd w:val="clear" w:color="auto" w:fill="auto"/>
            <w:noWrap/>
            <w:vAlign w:val="center"/>
            <w:hideMark/>
          </w:tcPr>
          <w:p w14:paraId="1016C82E"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40</w:t>
            </w:r>
          </w:p>
        </w:tc>
        <w:tc>
          <w:tcPr>
            <w:tcW w:w="552" w:type="dxa"/>
            <w:tcBorders>
              <w:top w:val="single" w:sz="4" w:space="0" w:color="auto"/>
              <w:left w:val="single" w:sz="4" w:space="0" w:color="auto"/>
              <w:bottom w:val="nil"/>
              <w:right w:val="nil"/>
            </w:tcBorders>
            <w:shd w:val="clear" w:color="auto" w:fill="auto"/>
            <w:noWrap/>
            <w:vAlign w:val="center"/>
            <w:hideMark/>
          </w:tcPr>
          <w:p w14:paraId="550A3B9D"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0</w:t>
            </w:r>
          </w:p>
        </w:tc>
        <w:tc>
          <w:tcPr>
            <w:tcW w:w="849" w:type="dxa"/>
            <w:tcBorders>
              <w:top w:val="single" w:sz="4" w:space="0" w:color="auto"/>
              <w:left w:val="nil"/>
              <w:bottom w:val="nil"/>
              <w:right w:val="single" w:sz="4" w:space="0" w:color="auto"/>
            </w:tcBorders>
            <w:shd w:val="clear" w:color="auto" w:fill="auto"/>
            <w:noWrap/>
            <w:vAlign w:val="center"/>
            <w:hideMark/>
          </w:tcPr>
          <w:p w14:paraId="049DEB01"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0</w:t>
            </w:r>
          </w:p>
        </w:tc>
        <w:tc>
          <w:tcPr>
            <w:tcW w:w="552" w:type="dxa"/>
            <w:tcBorders>
              <w:top w:val="single" w:sz="4" w:space="0" w:color="auto"/>
              <w:left w:val="single" w:sz="4" w:space="0" w:color="auto"/>
              <w:bottom w:val="nil"/>
              <w:right w:val="nil"/>
            </w:tcBorders>
            <w:shd w:val="clear" w:color="auto" w:fill="auto"/>
            <w:noWrap/>
            <w:vAlign w:val="center"/>
            <w:hideMark/>
          </w:tcPr>
          <w:p w14:paraId="394D273B"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10</w:t>
            </w:r>
          </w:p>
        </w:tc>
        <w:tc>
          <w:tcPr>
            <w:tcW w:w="848" w:type="dxa"/>
            <w:tcBorders>
              <w:top w:val="single" w:sz="4" w:space="0" w:color="auto"/>
              <w:left w:val="nil"/>
              <w:bottom w:val="nil"/>
              <w:right w:val="single" w:sz="4" w:space="0" w:color="auto"/>
            </w:tcBorders>
            <w:shd w:val="clear" w:color="auto" w:fill="auto"/>
            <w:noWrap/>
            <w:vAlign w:val="center"/>
            <w:hideMark/>
          </w:tcPr>
          <w:p w14:paraId="5FE6E02B"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100</w:t>
            </w:r>
          </w:p>
        </w:tc>
      </w:tr>
      <w:tr w:rsidR="00B600B7" w:rsidRPr="00B600B7" w14:paraId="7A1AFFF6" w14:textId="77777777" w:rsidTr="00B600B7">
        <w:trPr>
          <w:trHeight w:val="362"/>
        </w:trPr>
        <w:tc>
          <w:tcPr>
            <w:tcW w:w="3783" w:type="dxa"/>
            <w:tcBorders>
              <w:top w:val="nil"/>
              <w:left w:val="single" w:sz="4" w:space="0" w:color="auto"/>
              <w:bottom w:val="nil"/>
              <w:right w:val="single" w:sz="4" w:space="0" w:color="auto"/>
            </w:tcBorders>
            <w:shd w:val="clear" w:color="auto" w:fill="auto"/>
            <w:noWrap/>
            <w:vAlign w:val="center"/>
            <w:hideMark/>
          </w:tcPr>
          <w:p w14:paraId="2F3EB027" w14:textId="77777777" w:rsidR="00B600B7" w:rsidRPr="00FB6328" w:rsidRDefault="00B600B7" w:rsidP="00B600B7">
            <w:pPr>
              <w:spacing w:line="276" w:lineRule="auto"/>
              <w:rPr>
                <w:rFonts w:eastAsia="Times New Roman" w:cstheme="minorHAnsi"/>
                <w:color w:val="000000"/>
                <w:lang w:val="en-IN"/>
              </w:rPr>
            </w:pPr>
            <w:r w:rsidRPr="00FB6328">
              <w:rPr>
                <w:rFonts w:eastAsia="Times New Roman" w:cstheme="minorHAnsi"/>
                <w:color w:val="000000"/>
                <w:lang w:val="en-IN"/>
              </w:rPr>
              <w:t>C3 or C4 and below (n=12)</w:t>
            </w:r>
          </w:p>
        </w:tc>
        <w:tc>
          <w:tcPr>
            <w:tcW w:w="552" w:type="dxa"/>
            <w:tcBorders>
              <w:top w:val="nil"/>
              <w:left w:val="nil"/>
              <w:bottom w:val="nil"/>
              <w:right w:val="nil"/>
            </w:tcBorders>
            <w:shd w:val="clear" w:color="auto" w:fill="auto"/>
            <w:noWrap/>
            <w:vAlign w:val="center"/>
            <w:hideMark/>
          </w:tcPr>
          <w:p w14:paraId="12F88384"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6</w:t>
            </w:r>
          </w:p>
        </w:tc>
        <w:tc>
          <w:tcPr>
            <w:tcW w:w="849" w:type="dxa"/>
            <w:tcBorders>
              <w:top w:val="nil"/>
              <w:left w:val="nil"/>
              <w:bottom w:val="nil"/>
              <w:right w:val="single" w:sz="4" w:space="0" w:color="auto"/>
            </w:tcBorders>
            <w:shd w:val="clear" w:color="auto" w:fill="auto"/>
            <w:noWrap/>
            <w:vAlign w:val="center"/>
            <w:hideMark/>
          </w:tcPr>
          <w:p w14:paraId="62DA0D08"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50</w:t>
            </w:r>
          </w:p>
        </w:tc>
        <w:tc>
          <w:tcPr>
            <w:tcW w:w="552" w:type="dxa"/>
            <w:tcBorders>
              <w:top w:val="nil"/>
              <w:left w:val="single" w:sz="4" w:space="0" w:color="auto"/>
              <w:bottom w:val="nil"/>
              <w:right w:val="nil"/>
            </w:tcBorders>
            <w:shd w:val="clear" w:color="auto" w:fill="auto"/>
            <w:noWrap/>
            <w:vAlign w:val="center"/>
            <w:hideMark/>
          </w:tcPr>
          <w:p w14:paraId="6232E0F1"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6</w:t>
            </w:r>
          </w:p>
        </w:tc>
        <w:tc>
          <w:tcPr>
            <w:tcW w:w="674" w:type="dxa"/>
            <w:tcBorders>
              <w:top w:val="nil"/>
              <w:left w:val="nil"/>
              <w:bottom w:val="nil"/>
              <w:right w:val="single" w:sz="4" w:space="0" w:color="auto"/>
            </w:tcBorders>
            <w:shd w:val="clear" w:color="auto" w:fill="auto"/>
            <w:noWrap/>
            <w:vAlign w:val="center"/>
            <w:hideMark/>
          </w:tcPr>
          <w:p w14:paraId="54EC731D"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50</w:t>
            </w:r>
          </w:p>
        </w:tc>
        <w:tc>
          <w:tcPr>
            <w:tcW w:w="552" w:type="dxa"/>
            <w:tcBorders>
              <w:top w:val="nil"/>
              <w:left w:val="single" w:sz="4" w:space="0" w:color="auto"/>
              <w:bottom w:val="nil"/>
              <w:right w:val="nil"/>
            </w:tcBorders>
            <w:shd w:val="clear" w:color="auto" w:fill="auto"/>
            <w:noWrap/>
            <w:vAlign w:val="center"/>
            <w:hideMark/>
          </w:tcPr>
          <w:p w14:paraId="0E08F927"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2</w:t>
            </w:r>
          </w:p>
        </w:tc>
        <w:tc>
          <w:tcPr>
            <w:tcW w:w="849" w:type="dxa"/>
            <w:tcBorders>
              <w:top w:val="nil"/>
              <w:left w:val="nil"/>
              <w:bottom w:val="nil"/>
              <w:right w:val="single" w:sz="4" w:space="0" w:color="auto"/>
            </w:tcBorders>
            <w:shd w:val="clear" w:color="auto" w:fill="auto"/>
            <w:noWrap/>
            <w:vAlign w:val="center"/>
            <w:hideMark/>
          </w:tcPr>
          <w:p w14:paraId="094B09F0" w14:textId="77777777" w:rsidR="00B600B7" w:rsidRPr="00FB6328" w:rsidRDefault="00B600B7" w:rsidP="00B600B7">
            <w:pPr>
              <w:spacing w:line="276" w:lineRule="auto"/>
              <w:jc w:val="center"/>
              <w:rPr>
                <w:rFonts w:eastAsia="Times New Roman" w:cstheme="minorHAnsi"/>
                <w:color w:val="000000"/>
                <w:lang w:val="en-IN"/>
              </w:rPr>
            </w:pPr>
            <w:r w:rsidRPr="00B600B7">
              <w:rPr>
                <w:rFonts w:eastAsia="Times New Roman" w:cstheme="minorHAnsi"/>
                <w:color w:val="000000"/>
                <w:lang w:val="en-IN"/>
              </w:rPr>
              <w:t>16.66</w:t>
            </w:r>
          </w:p>
        </w:tc>
        <w:tc>
          <w:tcPr>
            <w:tcW w:w="552" w:type="dxa"/>
            <w:tcBorders>
              <w:top w:val="nil"/>
              <w:left w:val="single" w:sz="4" w:space="0" w:color="auto"/>
              <w:bottom w:val="nil"/>
              <w:right w:val="nil"/>
            </w:tcBorders>
            <w:shd w:val="clear" w:color="auto" w:fill="auto"/>
            <w:noWrap/>
            <w:vAlign w:val="center"/>
            <w:hideMark/>
          </w:tcPr>
          <w:p w14:paraId="1EC8FB94" w14:textId="77777777" w:rsidR="00B600B7" w:rsidRPr="00FB6328" w:rsidRDefault="00B600B7" w:rsidP="00B600B7">
            <w:pPr>
              <w:spacing w:line="276" w:lineRule="auto"/>
              <w:jc w:val="center"/>
              <w:rPr>
                <w:rFonts w:eastAsia="Times New Roman" w:cstheme="minorHAnsi"/>
                <w:color w:val="000000"/>
                <w:lang w:val="en-IN"/>
              </w:rPr>
            </w:pPr>
            <w:r w:rsidRPr="00B600B7">
              <w:rPr>
                <w:rFonts w:eastAsia="Times New Roman" w:cstheme="minorHAnsi"/>
                <w:color w:val="000000"/>
                <w:lang w:val="en-IN"/>
              </w:rPr>
              <w:t>10</w:t>
            </w:r>
          </w:p>
        </w:tc>
        <w:tc>
          <w:tcPr>
            <w:tcW w:w="848" w:type="dxa"/>
            <w:tcBorders>
              <w:top w:val="nil"/>
              <w:left w:val="nil"/>
              <w:bottom w:val="nil"/>
              <w:right w:val="single" w:sz="4" w:space="0" w:color="auto"/>
            </w:tcBorders>
            <w:shd w:val="clear" w:color="auto" w:fill="auto"/>
            <w:noWrap/>
            <w:vAlign w:val="center"/>
            <w:hideMark/>
          </w:tcPr>
          <w:p w14:paraId="1F6829DF"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8</w:t>
            </w:r>
            <w:r w:rsidRPr="00B600B7">
              <w:rPr>
                <w:rFonts w:eastAsia="Times New Roman" w:cstheme="minorHAnsi"/>
                <w:color w:val="000000"/>
                <w:lang w:val="en-IN"/>
              </w:rPr>
              <w:t>3.33</w:t>
            </w:r>
          </w:p>
        </w:tc>
      </w:tr>
      <w:tr w:rsidR="00B600B7" w:rsidRPr="00B600B7" w14:paraId="362D7AE8" w14:textId="77777777" w:rsidTr="00B600B7">
        <w:trPr>
          <w:trHeight w:val="362"/>
        </w:trPr>
        <w:tc>
          <w:tcPr>
            <w:tcW w:w="3783" w:type="dxa"/>
            <w:tcBorders>
              <w:top w:val="nil"/>
              <w:left w:val="single" w:sz="4" w:space="0" w:color="auto"/>
              <w:bottom w:val="nil"/>
              <w:right w:val="single" w:sz="4" w:space="0" w:color="auto"/>
            </w:tcBorders>
            <w:shd w:val="clear" w:color="auto" w:fill="auto"/>
            <w:noWrap/>
            <w:vAlign w:val="center"/>
            <w:hideMark/>
          </w:tcPr>
          <w:p w14:paraId="78DA8A28" w14:textId="77777777" w:rsidR="00B600B7" w:rsidRPr="00FB6328" w:rsidRDefault="00B600B7" w:rsidP="00B600B7">
            <w:pPr>
              <w:spacing w:line="276" w:lineRule="auto"/>
              <w:rPr>
                <w:rFonts w:eastAsia="Times New Roman" w:cstheme="minorHAnsi"/>
                <w:color w:val="000000"/>
                <w:lang w:val="en-IN"/>
              </w:rPr>
            </w:pPr>
            <w:r w:rsidRPr="00FB6328">
              <w:rPr>
                <w:rFonts w:eastAsia="Times New Roman" w:cstheme="minorHAnsi"/>
                <w:color w:val="000000"/>
                <w:lang w:val="en-IN"/>
              </w:rPr>
              <w:t>C5 and below (n=54)</w:t>
            </w:r>
          </w:p>
        </w:tc>
        <w:tc>
          <w:tcPr>
            <w:tcW w:w="552" w:type="dxa"/>
            <w:tcBorders>
              <w:top w:val="nil"/>
              <w:left w:val="nil"/>
              <w:bottom w:val="nil"/>
              <w:right w:val="nil"/>
            </w:tcBorders>
            <w:shd w:val="clear" w:color="auto" w:fill="auto"/>
            <w:noWrap/>
            <w:vAlign w:val="center"/>
            <w:hideMark/>
          </w:tcPr>
          <w:p w14:paraId="72F3223B"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49</w:t>
            </w:r>
          </w:p>
        </w:tc>
        <w:tc>
          <w:tcPr>
            <w:tcW w:w="849" w:type="dxa"/>
            <w:tcBorders>
              <w:top w:val="nil"/>
              <w:left w:val="nil"/>
              <w:bottom w:val="nil"/>
              <w:right w:val="single" w:sz="4" w:space="0" w:color="auto"/>
            </w:tcBorders>
            <w:shd w:val="clear" w:color="auto" w:fill="auto"/>
            <w:noWrap/>
            <w:vAlign w:val="center"/>
            <w:hideMark/>
          </w:tcPr>
          <w:p w14:paraId="74751B74"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90.74</w:t>
            </w:r>
          </w:p>
        </w:tc>
        <w:tc>
          <w:tcPr>
            <w:tcW w:w="552" w:type="dxa"/>
            <w:tcBorders>
              <w:top w:val="nil"/>
              <w:left w:val="single" w:sz="4" w:space="0" w:color="auto"/>
              <w:bottom w:val="nil"/>
              <w:right w:val="nil"/>
            </w:tcBorders>
            <w:shd w:val="clear" w:color="auto" w:fill="auto"/>
            <w:noWrap/>
            <w:vAlign w:val="center"/>
            <w:hideMark/>
          </w:tcPr>
          <w:p w14:paraId="4BAB323E"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5</w:t>
            </w:r>
          </w:p>
        </w:tc>
        <w:tc>
          <w:tcPr>
            <w:tcW w:w="674" w:type="dxa"/>
            <w:tcBorders>
              <w:top w:val="nil"/>
              <w:left w:val="nil"/>
              <w:bottom w:val="nil"/>
              <w:right w:val="single" w:sz="4" w:space="0" w:color="auto"/>
            </w:tcBorders>
            <w:shd w:val="clear" w:color="auto" w:fill="auto"/>
            <w:noWrap/>
            <w:vAlign w:val="center"/>
            <w:hideMark/>
          </w:tcPr>
          <w:p w14:paraId="01B34D2B"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9.25</w:t>
            </w:r>
          </w:p>
        </w:tc>
        <w:tc>
          <w:tcPr>
            <w:tcW w:w="552" w:type="dxa"/>
            <w:tcBorders>
              <w:top w:val="nil"/>
              <w:left w:val="single" w:sz="4" w:space="0" w:color="auto"/>
              <w:bottom w:val="nil"/>
              <w:right w:val="nil"/>
            </w:tcBorders>
            <w:shd w:val="clear" w:color="auto" w:fill="auto"/>
            <w:noWrap/>
            <w:vAlign w:val="center"/>
            <w:hideMark/>
          </w:tcPr>
          <w:p w14:paraId="56A41986"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12</w:t>
            </w:r>
          </w:p>
        </w:tc>
        <w:tc>
          <w:tcPr>
            <w:tcW w:w="849" w:type="dxa"/>
            <w:tcBorders>
              <w:top w:val="nil"/>
              <w:left w:val="nil"/>
              <w:bottom w:val="nil"/>
              <w:right w:val="single" w:sz="4" w:space="0" w:color="auto"/>
            </w:tcBorders>
            <w:shd w:val="clear" w:color="auto" w:fill="auto"/>
            <w:noWrap/>
            <w:vAlign w:val="center"/>
            <w:hideMark/>
          </w:tcPr>
          <w:p w14:paraId="70741EA4"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22.22</w:t>
            </w:r>
          </w:p>
        </w:tc>
        <w:tc>
          <w:tcPr>
            <w:tcW w:w="552" w:type="dxa"/>
            <w:tcBorders>
              <w:top w:val="nil"/>
              <w:left w:val="single" w:sz="4" w:space="0" w:color="auto"/>
              <w:bottom w:val="nil"/>
              <w:right w:val="nil"/>
            </w:tcBorders>
            <w:shd w:val="clear" w:color="auto" w:fill="auto"/>
            <w:noWrap/>
            <w:vAlign w:val="center"/>
            <w:hideMark/>
          </w:tcPr>
          <w:p w14:paraId="31C87F2D"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42</w:t>
            </w:r>
          </w:p>
        </w:tc>
        <w:tc>
          <w:tcPr>
            <w:tcW w:w="848" w:type="dxa"/>
            <w:tcBorders>
              <w:top w:val="nil"/>
              <w:left w:val="nil"/>
              <w:bottom w:val="nil"/>
              <w:right w:val="single" w:sz="4" w:space="0" w:color="auto"/>
            </w:tcBorders>
            <w:shd w:val="clear" w:color="auto" w:fill="auto"/>
            <w:noWrap/>
            <w:vAlign w:val="center"/>
            <w:hideMark/>
          </w:tcPr>
          <w:p w14:paraId="73C3B617"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77.77</w:t>
            </w:r>
          </w:p>
        </w:tc>
      </w:tr>
      <w:tr w:rsidR="00B600B7" w:rsidRPr="00FB6328" w14:paraId="7D165B35" w14:textId="77777777" w:rsidTr="00B600B7">
        <w:trPr>
          <w:trHeight w:val="362"/>
        </w:trPr>
        <w:tc>
          <w:tcPr>
            <w:tcW w:w="3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0D526"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p-value</w:t>
            </w:r>
          </w:p>
        </w:tc>
        <w:tc>
          <w:tcPr>
            <w:tcW w:w="2627" w:type="dxa"/>
            <w:gridSpan w:val="4"/>
            <w:tcBorders>
              <w:top w:val="single" w:sz="4" w:space="0" w:color="auto"/>
              <w:left w:val="nil"/>
              <w:bottom w:val="single" w:sz="4" w:space="0" w:color="auto"/>
              <w:right w:val="nil"/>
            </w:tcBorders>
            <w:shd w:val="clear" w:color="auto" w:fill="auto"/>
            <w:noWrap/>
            <w:vAlign w:val="center"/>
            <w:hideMark/>
          </w:tcPr>
          <w:p w14:paraId="2B8DD57E"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0.03</w:t>
            </w:r>
          </w:p>
        </w:tc>
        <w:tc>
          <w:tcPr>
            <w:tcW w:w="2807" w:type="dxa"/>
            <w:gridSpan w:val="4"/>
            <w:tcBorders>
              <w:top w:val="single" w:sz="4" w:space="0" w:color="auto"/>
              <w:left w:val="nil"/>
              <w:bottom w:val="single" w:sz="4" w:space="0" w:color="auto"/>
              <w:right w:val="single" w:sz="4" w:space="0" w:color="auto"/>
            </w:tcBorders>
            <w:shd w:val="clear" w:color="auto" w:fill="auto"/>
            <w:noWrap/>
            <w:vAlign w:val="center"/>
            <w:hideMark/>
          </w:tcPr>
          <w:p w14:paraId="7B440F92" w14:textId="77777777" w:rsidR="00B600B7" w:rsidRPr="00FB6328" w:rsidRDefault="00B600B7" w:rsidP="00B600B7">
            <w:pPr>
              <w:spacing w:line="276" w:lineRule="auto"/>
              <w:jc w:val="center"/>
              <w:rPr>
                <w:rFonts w:eastAsia="Times New Roman" w:cstheme="minorHAnsi"/>
                <w:color w:val="000000"/>
                <w:lang w:val="en-IN"/>
              </w:rPr>
            </w:pPr>
            <w:r w:rsidRPr="00FB6328">
              <w:rPr>
                <w:rFonts w:eastAsia="Times New Roman" w:cstheme="minorHAnsi"/>
                <w:color w:val="000000"/>
                <w:lang w:val="en-IN"/>
              </w:rPr>
              <w:t>0.43</w:t>
            </w:r>
          </w:p>
        </w:tc>
      </w:tr>
    </w:tbl>
    <w:p w14:paraId="1ADC4D40" w14:textId="77777777" w:rsidR="00B600B7" w:rsidRDefault="00044DA4" w:rsidP="00B600B7">
      <w:pPr>
        <w:pStyle w:val="NormalWeb"/>
        <w:spacing w:line="276" w:lineRule="auto"/>
        <w:jc w:val="both"/>
        <w:rPr>
          <w:rFonts w:asciiTheme="minorHAnsi" w:hAnsiTheme="minorHAnsi" w:cstheme="minorHAnsi"/>
          <w:szCs w:val="28"/>
        </w:rPr>
      </w:pPr>
      <w:r w:rsidRPr="00B600B7">
        <w:rPr>
          <w:rFonts w:asciiTheme="minorHAnsi" w:hAnsiTheme="minorHAnsi" w:cstheme="minorHAnsi"/>
          <w:b/>
        </w:rPr>
        <w:t>Results:</w:t>
      </w:r>
      <w:r w:rsidRPr="00B600B7">
        <w:rPr>
          <w:rFonts w:asciiTheme="minorHAnsi" w:hAnsiTheme="minorHAnsi" w:cstheme="minorHAnsi"/>
        </w:rPr>
        <w:t xml:space="preserve"> Eight patients required surgery. Data from 76 patients, who were conservatively managed, were </w:t>
      </w:r>
      <w:proofErr w:type="spellStart"/>
      <w:r w:rsidRPr="00B600B7">
        <w:rPr>
          <w:rFonts w:asciiTheme="minorHAnsi" w:hAnsiTheme="minorHAnsi" w:cstheme="minorHAnsi"/>
        </w:rPr>
        <w:t>analyzed</w:t>
      </w:r>
      <w:proofErr w:type="spellEnd"/>
      <w:r w:rsidRPr="00B600B7">
        <w:rPr>
          <w:rFonts w:asciiTheme="minorHAnsi" w:hAnsiTheme="minorHAnsi" w:cstheme="minorHAnsi"/>
        </w:rPr>
        <w:t xml:space="preserve"> for predictors of outcome. Among conservatively managed patients, at presentation, 58 patients had an MBI score of p12. At 18 months, the majority of patients (81.6%) had a good outcome. On univariate analysis, a duration of illness &gt;3 months, a major motor deficit, bladder</w:t>
      </w:r>
      <w:r w:rsidRPr="00B600B7">
        <w:rPr>
          <w:rFonts w:asciiTheme="minorHAnsi" w:hAnsiTheme="minorHAnsi" w:cstheme="minorHAnsi"/>
          <w:szCs w:val="28"/>
        </w:rPr>
        <w:t xml:space="preserve"> involvement, flexor spasms, significant cord compression and spinal </w:t>
      </w:r>
    </w:p>
    <w:p w14:paraId="7122FBD3" w14:textId="77777777" w:rsidR="00B600B7" w:rsidRDefault="00B600B7" w:rsidP="00B600B7">
      <w:pPr>
        <w:pStyle w:val="NormalWeb"/>
        <w:spacing w:line="276" w:lineRule="auto"/>
        <w:jc w:val="both"/>
        <w:rPr>
          <w:rFonts w:asciiTheme="minorHAnsi" w:hAnsiTheme="minorHAnsi" w:cstheme="minorHAnsi"/>
          <w:szCs w:val="28"/>
        </w:rPr>
      </w:pPr>
    </w:p>
    <w:p w14:paraId="6A0A2B4C" w14:textId="108C4AEC" w:rsidR="00B600B7" w:rsidRPr="00B600B7" w:rsidRDefault="00044DA4" w:rsidP="00B600B7">
      <w:pPr>
        <w:pStyle w:val="NormalWeb"/>
        <w:spacing w:line="276" w:lineRule="auto"/>
        <w:jc w:val="both"/>
        <w:rPr>
          <w:rFonts w:asciiTheme="minorHAnsi" w:hAnsiTheme="minorHAnsi" w:cstheme="minorHAnsi"/>
          <w:szCs w:val="28"/>
        </w:rPr>
      </w:pPr>
      <w:bookmarkStart w:id="0" w:name="_GoBack"/>
      <w:bookmarkEnd w:id="0"/>
      <w:r w:rsidRPr="00B600B7">
        <w:rPr>
          <w:rFonts w:asciiTheme="minorHAnsi" w:hAnsiTheme="minorHAnsi" w:cstheme="minorHAnsi"/>
          <w:szCs w:val="28"/>
        </w:rPr>
        <w:t>extension of the abscess were significantly associated with a poor outcome. However, on multivariate analysis significant cord compression (P = 0.003) and spinal extension (P = 0.02) showed a significant correlation with a poor outcome.</w:t>
      </w:r>
    </w:p>
    <w:p w14:paraId="5BF6E857" w14:textId="77777777" w:rsidR="0027612C" w:rsidRPr="00B600B7" w:rsidRDefault="00044DA4" w:rsidP="00B600B7">
      <w:pPr>
        <w:pStyle w:val="NormalWeb"/>
        <w:spacing w:line="276" w:lineRule="auto"/>
        <w:jc w:val="both"/>
        <w:rPr>
          <w:rFonts w:asciiTheme="minorHAnsi" w:hAnsiTheme="minorHAnsi" w:cstheme="minorHAnsi"/>
          <w:szCs w:val="28"/>
        </w:rPr>
      </w:pPr>
      <w:r w:rsidRPr="00B600B7">
        <w:rPr>
          <w:rFonts w:asciiTheme="minorHAnsi" w:hAnsiTheme="minorHAnsi" w:cstheme="minorHAnsi"/>
          <w:b/>
          <w:szCs w:val="28"/>
        </w:rPr>
        <w:t xml:space="preserve">Conclusion: </w:t>
      </w:r>
      <w:r w:rsidRPr="00B600B7">
        <w:rPr>
          <w:rFonts w:asciiTheme="minorHAnsi" w:hAnsiTheme="minorHAnsi" w:cstheme="minorHAnsi"/>
          <w:szCs w:val="28"/>
        </w:rPr>
        <w:t>Medical management was effective in cervical spine tuberculosis. Patients with significant cord compression and spinal extension of the abscess showed poorer outcome. With early diagnosis and early treatment, prognosis is generally good.</w:t>
      </w:r>
    </w:p>
    <w:sectPr w:rsidR="0027612C" w:rsidRPr="00B600B7" w:rsidSect="00ED0D2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DA4"/>
    <w:rsid w:val="00044DA4"/>
    <w:rsid w:val="00083296"/>
    <w:rsid w:val="00744A90"/>
    <w:rsid w:val="007A2A93"/>
    <w:rsid w:val="00955D35"/>
    <w:rsid w:val="00B600B7"/>
    <w:rsid w:val="00ED0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1A082FB"/>
  <w14:defaultImageDpi w14:val="32767"/>
  <w15:chartTrackingRefBased/>
  <w15:docId w15:val="{606E686F-7AED-E74D-9C31-5E408A86C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4DA4"/>
    <w:pPr>
      <w:spacing w:before="100" w:beforeAutospacing="1" w:after="100" w:afterAutospacing="1"/>
    </w:pPr>
    <w:rPr>
      <w:rFonts w:ascii="Times New Roman" w:eastAsia="Times New Roman" w:hAnsi="Times New Roman" w:cs="Times New Roman"/>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371</Words>
  <Characters>2010</Characters>
  <Application>Microsoft Office Word</Application>
  <DocSecurity>0</DocSecurity>
  <Lines>31</Lines>
  <Paragraphs>2</Paragraphs>
  <ScaleCrop>false</ScaleCrop>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2019-10-14T16:26:00Z</dcterms:created>
  <dcterms:modified xsi:type="dcterms:W3CDTF">2019-10-22T09:21:00Z</dcterms:modified>
</cp:coreProperties>
</file>