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5F5C61" w14:textId="00D8E562" w:rsidR="00AE3E37" w:rsidRDefault="005F027A" w:rsidP="00494130">
      <w:pPr>
        <w:pStyle w:val="Heading1"/>
        <w:spacing w:before="170"/>
        <w:ind w:left="0"/>
      </w:pPr>
      <w:r>
        <w:rPr>
          <w:color w:val="337AB7"/>
        </w:rPr>
        <w:t>Combination Endoscopic Foraminoplasty</w:t>
      </w:r>
    </w:p>
    <w:p w14:paraId="5767A7AA" w14:textId="6C61EE49" w:rsidR="0078738A" w:rsidRDefault="00BA46A0" w:rsidP="00BA46A0">
      <w:pPr>
        <w:pStyle w:val="BodyText"/>
        <w:spacing w:before="73" w:line="198" w:lineRule="exact"/>
        <w:ind w:right="5987"/>
        <w:rPr>
          <w:rFonts w:ascii="Arial"/>
        </w:rPr>
      </w:pPr>
      <w:proofErr w:type="spellStart"/>
      <w:r>
        <w:rPr>
          <w:rFonts w:ascii="Arial"/>
        </w:rPr>
        <w:t>Mr</w:t>
      </w:r>
      <w:proofErr w:type="spellEnd"/>
      <w:r>
        <w:rPr>
          <w:rFonts w:ascii="Arial"/>
        </w:rPr>
        <w:t xml:space="preserve"> Martin Knight MD FRCS MBBS, UK</w:t>
      </w:r>
      <w:r w:rsidR="005973B9">
        <w:rPr>
          <w:rFonts w:ascii="Arial"/>
        </w:rPr>
        <w:t xml:space="preserve"> </w:t>
      </w:r>
    </w:p>
    <w:p w14:paraId="6E6AE5EF"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603E1CF"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4A99C9D9" w14:textId="3AEE87A0" w:rsidR="009C5E35" w:rsidRPr="00794AFF" w:rsidRDefault="00A9710C" w:rsidP="00794AFF">
      <w:pPr>
        <w:pStyle w:val="BodyText"/>
        <w:spacing w:before="90" w:line="280" w:lineRule="auto"/>
        <w:ind w:left="100"/>
        <w:jc w:val="both"/>
      </w:pPr>
      <w:r w:rsidRPr="00BA46A0">
        <w:rPr>
          <w:b/>
          <w:bCs/>
        </w:rPr>
        <w:t>Statement of the Problem</w:t>
      </w:r>
      <w:r>
        <w:t xml:space="preserve">: </w:t>
      </w:r>
      <w:proofErr w:type="spellStart"/>
      <w:r w:rsidR="00BA46A0">
        <w:t>Cluneal</w:t>
      </w:r>
      <w:proofErr w:type="spellEnd"/>
      <w:r w:rsidR="00BA46A0">
        <w:t xml:space="preserve"> nerve trigger point irritation (CNTP</w:t>
      </w:r>
      <w:r w:rsidR="00650570">
        <w:t xml:space="preserve">I) </w:t>
      </w:r>
      <w:r w:rsidR="00BA46A0">
        <w:t xml:space="preserve">symptomatology and </w:t>
      </w:r>
      <w:proofErr w:type="spellStart"/>
      <w:r w:rsidR="00BA46A0">
        <w:t>aetiology</w:t>
      </w:r>
      <w:proofErr w:type="spellEnd"/>
      <w:r w:rsidR="00BA46A0">
        <w:t xml:space="preserve"> are poorly recognized and too often treated with open surgery where conservative measures fail. </w:t>
      </w:r>
      <w:r>
        <w:t>The purpose of this study is to</w:t>
      </w:r>
      <w:r w:rsidR="00404E5B">
        <w:t xml:space="preserve"> </w:t>
      </w:r>
      <w:r>
        <w:t xml:space="preserve">describe the </w:t>
      </w:r>
      <w:r w:rsidR="00650570">
        <w:t>distribution of symptoms</w:t>
      </w:r>
      <w:r w:rsidR="00104EC9">
        <w:t xml:space="preserve"> shown in Figure 1,</w:t>
      </w:r>
      <w:r w:rsidR="00650570">
        <w:t xml:space="preserve"> which can mimic sciatica and to present a diagnostic and treatment pathway and outcomes thereto. </w:t>
      </w:r>
      <w:r w:rsidRPr="00650570">
        <w:rPr>
          <w:b/>
          <w:bCs/>
        </w:rPr>
        <w:t>Methodolog</w:t>
      </w:r>
      <w:r w:rsidR="0078738A" w:rsidRPr="00650570">
        <w:rPr>
          <w:b/>
          <w:bCs/>
        </w:rPr>
        <w:t>y &amp; Theoretical Orientation:</w:t>
      </w:r>
      <w:r w:rsidR="0078738A">
        <w:t xml:space="preserve"> A</w:t>
      </w:r>
      <w:r w:rsidR="00650570">
        <w:t xml:space="preserve"> prospective study of the treatment outcomes based upon the proposed diagnostic protocol deployed in 33 consecutive patients with CNTPI was independently </w:t>
      </w:r>
      <w:proofErr w:type="spellStart"/>
      <w:r w:rsidR="00650570">
        <w:t>analysed</w:t>
      </w:r>
      <w:proofErr w:type="spellEnd"/>
      <w:r w:rsidR="00650570">
        <w:t xml:space="preserve"> 2 – 5 years following treatment</w:t>
      </w:r>
      <w:r w:rsidR="00104EC9">
        <w:t xml:space="preserve"> shown in Figure 2</w:t>
      </w:r>
      <w:r w:rsidR="00650570">
        <w:t>.</w:t>
      </w:r>
      <w:r>
        <w:t xml:space="preserve"> </w:t>
      </w:r>
      <w:r w:rsidRPr="00650570">
        <w:rPr>
          <w:b/>
          <w:bCs/>
        </w:rPr>
        <w:t>Conclusion &amp; Significance:</w:t>
      </w:r>
      <w:r>
        <w:t xml:space="preserve"> </w:t>
      </w:r>
      <w:r w:rsidR="00104EC9">
        <w:t xml:space="preserve">The diagnostic pathway differentiates the pain from CNTPI from spinal disorders, facet joint or </w:t>
      </w:r>
      <w:proofErr w:type="spellStart"/>
      <w:r w:rsidR="00104EC9">
        <w:t>sacro</w:t>
      </w:r>
      <w:proofErr w:type="spellEnd"/>
      <w:r w:rsidR="00104EC9">
        <w:t>-iliac joint pain and provides a promising treatment alternative to that of open surgery. The proposed treatment is based upon correction of pelvic attitude and radiofrequency ablation of the “trigger points”</w:t>
      </w:r>
      <w:r w:rsidR="00FE1F7D">
        <w:t xml:space="preserve"> and offers encouraging outcomes</w:t>
      </w:r>
    </w:p>
    <w:p w14:paraId="006F5242" w14:textId="6A6D5ABE" w:rsidR="00AE3E37" w:rsidRDefault="00A9710C" w:rsidP="00104EC9">
      <w:pPr>
        <w:pStyle w:val="Heading3"/>
        <w:spacing w:before="74"/>
        <w:ind w:left="0"/>
      </w:pPr>
      <w:r>
        <w:rPr>
          <w:color w:val="BF5A14"/>
        </w:rPr>
        <w:t>Image</w:t>
      </w:r>
    </w:p>
    <w:p w14:paraId="0D6087E4" w14:textId="0090C861" w:rsidR="003F1070" w:rsidRDefault="005F027A" w:rsidP="003F1070">
      <w:pPr>
        <w:pStyle w:val="BodyText"/>
        <w:spacing w:before="2"/>
        <w:rPr>
          <w:rFonts w:ascii="Arial"/>
          <w:b/>
          <w:sz w:val="16"/>
        </w:rPr>
      </w:pPr>
      <w:r>
        <w:rPr>
          <w:rFonts w:ascii="Arial"/>
          <w:b/>
          <w:noProof/>
          <w:sz w:val="16"/>
        </w:rPr>
        <w:drawing>
          <wp:inline distT="0" distB="0" distL="0" distR="0" wp14:anchorId="4D63E311" wp14:editId="147A178E">
            <wp:extent cx="3165475" cy="1780540"/>
            <wp:effectExtent l="0" t="0" r="0" b="0"/>
            <wp:docPr id="12" name="Picture 12" descr="Depiction of Foraminal Pain Gener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oraminal Pain Generators.jpg"/>
                    <pic:cNvPicPr/>
                  </pic:nvPicPr>
                  <pic:blipFill>
                    <a:blip r:embed="rId9">
                      <a:extLst>
                        <a:ext uri="{28A0092B-C50C-407E-A947-70E740481C1C}">
                          <a14:useLocalDpi xmlns:a14="http://schemas.microsoft.com/office/drawing/2010/main" val="0"/>
                        </a:ext>
                      </a:extLst>
                    </a:blip>
                    <a:stretch>
                      <a:fillRect/>
                    </a:stretch>
                  </pic:blipFill>
                  <pic:spPr>
                    <a:xfrm>
                      <a:off x="0" y="0"/>
                      <a:ext cx="3165475" cy="1780540"/>
                    </a:xfrm>
                    <a:prstGeom prst="rect">
                      <a:avLst/>
                    </a:prstGeom>
                  </pic:spPr>
                </pic:pic>
              </a:graphicData>
            </a:graphic>
          </wp:inline>
        </w:drawing>
      </w:r>
    </w:p>
    <w:p w14:paraId="7B441FC1" w14:textId="4BD57CF1" w:rsidR="003F1070" w:rsidRPr="003F1070" w:rsidRDefault="003F1070" w:rsidP="003F1070">
      <w:pPr>
        <w:pStyle w:val="BodyText"/>
        <w:spacing w:before="2"/>
        <w:rPr>
          <w:rFonts w:ascii="Arial"/>
          <w:b/>
          <w:sz w:val="16"/>
        </w:rPr>
      </w:pPr>
      <w:r>
        <w:rPr>
          <w:rFonts w:ascii="Arial"/>
          <w:b/>
          <w:sz w:val="16"/>
        </w:rPr>
        <w:t xml:space="preserve">Figure 1 </w:t>
      </w:r>
      <w:r w:rsidR="005F027A">
        <w:rPr>
          <w:rFonts w:ascii="Arial"/>
          <w:bCs/>
          <w:sz w:val="16"/>
        </w:rPr>
        <w:t>Generators of Foraminal Low Back Pain</w:t>
      </w:r>
    </w:p>
    <w:p w14:paraId="4BDD6B0C" w14:textId="6D9717BF" w:rsidR="003F1070" w:rsidRDefault="003F1070">
      <w:pPr>
        <w:pStyle w:val="BodyText"/>
        <w:spacing w:before="2"/>
        <w:rPr>
          <w:rFonts w:ascii="Arial"/>
          <w:bCs/>
          <w:sz w:val="16"/>
        </w:rPr>
      </w:pPr>
    </w:p>
    <w:p w14:paraId="5876DC77" w14:textId="451D5DC7" w:rsidR="009C5E35" w:rsidRDefault="005F027A">
      <w:pPr>
        <w:pStyle w:val="BodyText"/>
        <w:spacing w:before="2"/>
        <w:rPr>
          <w:rFonts w:ascii="Arial"/>
          <w:bCs/>
          <w:sz w:val="16"/>
        </w:rPr>
      </w:pPr>
      <w:r>
        <w:rPr>
          <w:rFonts w:ascii="Arial"/>
          <w:bCs/>
          <w:noProof/>
          <w:sz w:val="16"/>
        </w:rPr>
        <w:drawing>
          <wp:inline distT="0" distB="0" distL="0" distR="0" wp14:anchorId="12A37672" wp14:editId="2B705E18">
            <wp:extent cx="3165475" cy="1780540"/>
            <wp:effectExtent l="0" t="0" r="0" b="0"/>
            <wp:docPr id="6" name="Picture 6" descr="A summary of clinical outcomes with elements of Combination Foraminoplas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ndoscopic Foraminoplasty Outcomes.jpg"/>
                    <pic:cNvPicPr/>
                  </pic:nvPicPr>
                  <pic:blipFill>
                    <a:blip r:embed="rId10">
                      <a:extLst>
                        <a:ext uri="{28A0092B-C50C-407E-A947-70E740481C1C}">
                          <a14:useLocalDpi xmlns:a14="http://schemas.microsoft.com/office/drawing/2010/main" val="0"/>
                        </a:ext>
                      </a:extLst>
                    </a:blip>
                    <a:stretch>
                      <a:fillRect/>
                    </a:stretch>
                  </pic:blipFill>
                  <pic:spPr>
                    <a:xfrm>
                      <a:off x="0" y="0"/>
                      <a:ext cx="3165475" cy="1780540"/>
                    </a:xfrm>
                    <a:prstGeom prst="rect">
                      <a:avLst/>
                    </a:prstGeom>
                  </pic:spPr>
                </pic:pic>
              </a:graphicData>
            </a:graphic>
          </wp:inline>
        </w:drawing>
      </w:r>
    </w:p>
    <w:p w14:paraId="615A6041" w14:textId="632B90ED" w:rsidR="009C5E35" w:rsidRDefault="009C5E35">
      <w:pPr>
        <w:pStyle w:val="BodyText"/>
        <w:spacing w:before="2"/>
        <w:rPr>
          <w:rFonts w:ascii="Arial"/>
          <w:bCs/>
          <w:sz w:val="16"/>
        </w:rPr>
      </w:pPr>
    </w:p>
    <w:p w14:paraId="23369DC8" w14:textId="23A8ADAC" w:rsidR="009C5E35" w:rsidRPr="003F1070" w:rsidRDefault="009C5E35" w:rsidP="009C5E35">
      <w:pPr>
        <w:pStyle w:val="BodyText"/>
        <w:spacing w:before="2"/>
        <w:rPr>
          <w:rFonts w:ascii="Arial"/>
          <w:b/>
          <w:sz w:val="16"/>
        </w:rPr>
      </w:pPr>
      <w:r>
        <w:rPr>
          <w:rFonts w:ascii="Arial"/>
          <w:b/>
          <w:sz w:val="16"/>
        </w:rPr>
        <w:t xml:space="preserve">Figure 2 </w:t>
      </w:r>
      <w:r>
        <w:rPr>
          <w:rFonts w:ascii="Arial"/>
          <w:bCs/>
          <w:sz w:val="16"/>
        </w:rPr>
        <w:t>Clinical Demographics &amp; Outcomes</w:t>
      </w:r>
    </w:p>
    <w:p w14:paraId="03ED56F4" w14:textId="620C05CB" w:rsidR="005973B9" w:rsidRDefault="005973B9" w:rsidP="005973B9">
      <w:pPr>
        <w:spacing w:line="204" w:lineRule="exact"/>
        <w:rPr>
          <w:rFonts w:ascii="Arial"/>
          <w:b/>
          <w:color w:val="BF5A14"/>
          <w:sz w:val="20"/>
        </w:rPr>
      </w:pPr>
      <w:r>
        <w:rPr>
          <w:rFonts w:ascii="Arial"/>
          <w:b/>
          <w:color w:val="BF5A14"/>
          <w:sz w:val="20"/>
        </w:rPr>
        <w:br/>
        <w:t>Recent Publications (minimum 5)</w:t>
      </w:r>
    </w:p>
    <w:p w14:paraId="251B651C" w14:textId="77777777" w:rsidR="009E77E7" w:rsidRPr="009E77E7" w:rsidRDefault="009E77E7" w:rsidP="009E77E7">
      <w:pPr>
        <w:rPr>
          <w:sz w:val="18"/>
          <w:szCs w:val="18"/>
        </w:rPr>
      </w:pPr>
    </w:p>
    <w:p w14:paraId="2702AB7B" w14:textId="77777777" w:rsidR="009E77E7" w:rsidRPr="009E77E7" w:rsidRDefault="009E77E7" w:rsidP="009E77E7">
      <w:pPr>
        <w:pStyle w:val="EndNoteBibliography"/>
        <w:rPr>
          <w:noProof/>
          <w:sz w:val="18"/>
          <w:szCs w:val="18"/>
        </w:rPr>
      </w:pPr>
      <w:r w:rsidRPr="009E77E7">
        <w:rPr>
          <w:sz w:val="18"/>
          <w:szCs w:val="18"/>
        </w:rPr>
        <w:t>1.</w:t>
      </w:r>
      <w:r w:rsidRPr="009E77E7">
        <w:rPr>
          <w:sz w:val="18"/>
          <w:szCs w:val="18"/>
        </w:rPr>
        <w:fldChar w:fldCharType="begin"/>
      </w:r>
      <w:r w:rsidRPr="009E77E7">
        <w:rPr>
          <w:sz w:val="18"/>
          <w:szCs w:val="18"/>
        </w:rPr>
        <w:instrText xml:space="preserve"> ADDIN EN.REFLIST </w:instrText>
      </w:r>
      <w:r w:rsidRPr="009E77E7">
        <w:rPr>
          <w:sz w:val="18"/>
          <w:szCs w:val="18"/>
        </w:rPr>
        <w:fldChar w:fldCharType="separate"/>
      </w:r>
      <w:r w:rsidRPr="009E77E7">
        <w:rPr>
          <w:noProof/>
          <w:sz w:val="18"/>
          <w:szCs w:val="18"/>
        </w:rPr>
        <w:t xml:space="preserve">Freemont, A., et al. (2002). "Nerve growth factor expression and innervation of the painful intervertebral disc." </w:t>
      </w:r>
      <w:r w:rsidRPr="009E77E7">
        <w:rPr>
          <w:noProof/>
          <w:sz w:val="18"/>
          <w:szCs w:val="18"/>
          <w:u w:val="single"/>
        </w:rPr>
        <w:t>The Journal of pathology</w:t>
      </w:r>
      <w:r w:rsidRPr="009E77E7">
        <w:rPr>
          <w:noProof/>
          <w:sz w:val="18"/>
          <w:szCs w:val="18"/>
        </w:rPr>
        <w:t xml:space="preserve"> </w:t>
      </w:r>
      <w:r w:rsidRPr="009E77E7">
        <w:rPr>
          <w:b/>
          <w:noProof/>
          <w:sz w:val="18"/>
          <w:szCs w:val="18"/>
        </w:rPr>
        <w:t>197</w:t>
      </w:r>
      <w:r w:rsidRPr="009E77E7">
        <w:rPr>
          <w:noProof/>
          <w:sz w:val="18"/>
          <w:szCs w:val="18"/>
        </w:rPr>
        <w:t>(3): 286-292.</w:t>
      </w:r>
    </w:p>
    <w:p w14:paraId="2C794C07" w14:textId="77777777" w:rsidR="009E77E7" w:rsidRPr="009E77E7" w:rsidRDefault="009E77E7" w:rsidP="009E77E7">
      <w:pPr>
        <w:pStyle w:val="EndNoteBibliography"/>
        <w:ind w:left="720" w:hanging="720"/>
        <w:rPr>
          <w:noProof/>
          <w:sz w:val="18"/>
          <w:szCs w:val="18"/>
        </w:rPr>
      </w:pPr>
      <w:r w:rsidRPr="009E77E7">
        <w:rPr>
          <w:noProof/>
          <w:sz w:val="18"/>
          <w:szCs w:val="18"/>
        </w:rPr>
        <w:tab/>
      </w:r>
    </w:p>
    <w:p w14:paraId="446660D0" w14:textId="77777777" w:rsidR="009E77E7" w:rsidRPr="009E77E7" w:rsidRDefault="009E77E7" w:rsidP="009E77E7">
      <w:pPr>
        <w:pStyle w:val="EndNoteBibliography"/>
        <w:rPr>
          <w:noProof/>
          <w:sz w:val="18"/>
          <w:szCs w:val="18"/>
        </w:rPr>
      </w:pPr>
      <w:r w:rsidRPr="009E77E7">
        <w:rPr>
          <w:noProof/>
          <w:sz w:val="18"/>
          <w:szCs w:val="18"/>
        </w:rPr>
        <w:t xml:space="preserve">2. Gerber, B. E. and M. Knight (2001). </w:t>
      </w:r>
      <w:r w:rsidRPr="009E77E7">
        <w:rPr>
          <w:noProof/>
          <w:sz w:val="18"/>
          <w:szCs w:val="18"/>
          <w:u w:val="single"/>
        </w:rPr>
        <w:t>Lasers in the Musculoskeletal System: 56 Tables</w:t>
      </w:r>
      <w:r w:rsidRPr="009E77E7">
        <w:rPr>
          <w:noProof/>
          <w:sz w:val="18"/>
          <w:szCs w:val="18"/>
        </w:rPr>
        <w:t>, Springer Science &amp; Business Media.</w:t>
      </w:r>
    </w:p>
    <w:p w14:paraId="269CF537" w14:textId="77777777" w:rsidR="009E77E7" w:rsidRPr="009E77E7" w:rsidRDefault="009E77E7" w:rsidP="009E77E7">
      <w:pPr>
        <w:pStyle w:val="EndNoteBibliography"/>
        <w:ind w:left="720" w:hanging="720"/>
        <w:rPr>
          <w:noProof/>
          <w:sz w:val="18"/>
          <w:szCs w:val="18"/>
        </w:rPr>
      </w:pPr>
      <w:r w:rsidRPr="009E77E7">
        <w:rPr>
          <w:noProof/>
          <w:sz w:val="18"/>
          <w:szCs w:val="18"/>
        </w:rPr>
        <w:tab/>
      </w:r>
      <w:r w:rsidRPr="009E77E7">
        <w:rPr>
          <w:noProof/>
          <w:sz w:val="18"/>
          <w:szCs w:val="18"/>
        </w:rPr>
        <w:tab/>
      </w:r>
    </w:p>
    <w:p w14:paraId="6E77F6CD" w14:textId="77777777" w:rsidR="009E77E7" w:rsidRPr="009E77E7" w:rsidRDefault="009E77E7" w:rsidP="009E77E7">
      <w:pPr>
        <w:pStyle w:val="EndNoteBibliography"/>
        <w:rPr>
          <w:noProof/>
          <w:sz w:val="18"/>
          <w:szCs w:val="18"/>
        </w:rPr>
      </w:pPr>
      <w:r w:rsidRPr="009E77E7">
        <w:rPr>
          <w:noProof/>
          <w:sz w:val="18"/>
          <w:szCs w:val="18"/>
        </w:rPr>
        <w:t xml:space="preserve">3.Knight, M. (2001). "Lumbar foraminal pain sources: an aware state analysis." </w:t>
      </w:r>
      <w:r w:rsidRPr="009E77E7">
        <w:rPr>
          <w:noProof/>
          <w:sz w:val="18"/>
          <w:szCs w:val="18"/>
          <w:u w:val="single"/>
        </w:rPr>
        <w:t>Millenium Laser Book</w:t>
      </w:r>
      <w:r w:rsidRPr="009E77E7">
        <w:rPr>
          <w:noProof/>
          <w:sz w:val="18"/>
          <w:szCs w:val="18"/>
        </w:rPr>
        <w:t>.</w:t>
      </w:r>
    </w:p>
    <w:p w14:paraId="0B43FCAE" w14:textId="77777777" w:rsidR="009E77E7" w:rsidRPr="009E77E7" w:rsidRDefault="009E77E7" w:rsidP="009E77E7">
      <w:pPr>
        <w:pStyle w:val="EndNoteBibliography"/>
        <w:ind w:left="720" w:hanging="720"/>
        <w:rPr>
          <w:noProof/>
          <w:sz w:val="18"/>
          <w:szCs w:val="18"/>
        </w:rPr>
      </w:pPr>
      <w:r w:rsidRPr="009E77E7">
        <w:rPr>
          <w:noProof/>
          <w:sz w:val="18"/>
          <w:szCs w:val="18"/>
        </w:rPr>
        <w:tab/>
      </w:r>
    </w:p>
    <w:p w14:paraId="4A414965" w14:textId="77777777" w:rsidR="009E77E7" w:rsidRPr="009E77E7" w:rsidRDefault="009E77E7" w:rsidP="009E77E7">
      <w:pPr>
        <w:pStyle w:val="EndNoteBibliography"/>
        <w:rPr>
          <w:noProof/>
          <w:sz w:val="18"/>
          <w:szCs w:val="18"/>
        </w:rPr>
      </w:pPr>
      <w:r w:rsidRPr="009E77E7">
        <w:rPr>
          <w:noProof/>
          <w:sz w:val="18"/>
          <w:szCs w:val="18"/>
        </w:rPr>
        <w:t xml:space="preserve">4. Knight, M. (2001). An x-ray jig to facilitate the percutaneous posterolateral approach to the lumbar spine. </w:t>
      </w:r>
      <w:r w:rsidRPr="009E77E7">
        <w:rPr>
          <w:noProof/>
          <w:sz w:val="18"/>
          <w:szCs w:val="18"/>
          <w:u w:val="single"/>
        </w:rPr>
        <w:t>Lasers in the Musculoskeletal System</w:t>
      </w:r>
      <w:r w:rsidRPr="009E77E7">
        <w:rPr>
          <w:noProof/>
          <w:sz w:val="18"/>
          <w:szCs w:val="18"/>
        </w:rPr>
        <w:t>, Springer</w:t>
      </w:r>
      <w:r w:rsidRPr="009E77E7">
        <w:rPr>
          <w:b/>
          <w:noProof/>
          <w:sz w:val="18"/>
          <w:szCs w:val="18"/>
        </w:rPr>
        <w:t xml:space="preserve">: </w:t>
      </w:r>
      <w:r w:rsidRPr="009E77E7">
        <w:rPr>
          <w:noProof/>
          <w:sz w:val="18"/>
          <w:szCs w:val="18"/>
        </w:rPr>
        <w:t>277-282.</w:t>
      </w:r>
    </w:p>
    <w:p w14:paraId="45A98BA5" w14:textId="77777777" w:rsidR="009E77E7" w:rsidRPr="009E77E7" w:rsidRDefault="009E77E7" w:rsidP="009E77E7">
      <w:pPr>
        <w:pStyle w:val="EndNoteBibliography"/>
        <w:ind w:left="720" w:hanging="720"/>
        <w:rPr>
          <w:noProof/>
          <w:sz w:val="18"/>
          <w:szCs w:val="18"/>
        </w:rPr>
      </w:pPr>
      <w:r w:rsidRPr="009E77E7">
        <w:rPr>
          <w:noProof/>
          <w:sz w:val="18"/>
          <w:szCs w:val="18"/>
        </w:rPr>
        <w:tab/>
      </w:r>
    </w:p>
    <w:p w14:paraId="145F1E9F" w14:textId="77777777" w:rsidR="009E77E7" w:rsidRPr="009E77E7" w:rsidRDefault="009E77E7" w:rsidP="009E77E7">
      <w:pPr>
        <w:pStyle w:val="EndNoteBibliography"/>
        <w:rPr>
          <w:noProof/>
          <w:sz w:val="18"/>
          <w:szCs w:val="18"/>
        </w:rPr>
      </w:pPr>
      <w:r w:rsidRPr="009E77E7">
        <w:rPr>
          <w:noProof/>
          <w:sz w:val="18"/>
          <w:szCs w:val="18"/>
        </w:rPr>
        <w:t xml:space="preserve">5. Knight, M. and A. Goswami (2002). "Lumbar percutaneous KTP532 wavelength laser disc decompression and disc ablation in the management of discogenic pain." </w:t>
      </w:r>
      <w:r w:rsidRPr="009E77E7">
        <w:rPr>
          <w:noProof/>
          <w:sz w:val="18"/>
          <w:szCs w:val="18"/>
          <w:u w:val="single"/>
        </w:rPr>
        <w:t>Journal of clinical laser medicine &amp; surgery</w:t>
      </w:r>
      <w:r w:rsidRPr="009E77E7">
        <w:rPr>
          <w:noProof/>
          <w:sz w:val="18"/>
          <w:szCs w:val="18"/>
        </w:rPr>
        <w:t xml:space="preserve"> </w:t>
      </w:r>
      <w:r w:rsidRPr="009E77E7">
        <w:rPr>
          <w:b/>
          <w:noProof/>
          <w:sz w:val="18"/>
          <w:szCs w:val="18"/>
        </w:rPr>
        <w:t>20</w:t>
      </w:r>
      <w:r w:rsidRPr="009E77E7">
        <w:rPr>
          <w:noProof/>
          <w:sz w:val="18"/>
          <w:szCs w:val="18"/>
        </w:rPr>
        <w:t>(1): 9-13.</w:t>
      </w:r>
    </w:p>
    <w:p w14:paraId="20267FE6" w14:textId="77777777" w:rsidR="009E77E7" w:rsidRPr="009E77E7" w:rsidRDefault="009E77E7" w:rsidP="009E77E7">
      <w:pPr>
        <w:pStyle w:val="EndNoteBibliography"/>
        <w:ind w:left="720" w:hanging="720"/>
        <w:rPr>
          <w:noProof/>
          <w:sz w:val="18"/>
          <w:szCs w:val="18"/>
        </w:rPr>
      </w:pPr>
      <w:r w:rsidRPr="009E77E7">
        <w:rPr>
          <w:noProof/>
          <w:sz w:val="18"/>
          <w:szCs w:val="18"/>
        </w:rPr>
        <w:tab/>
      </w:r>
    </w:p>
    <w:p w14:paraId="00054EA2" w14:textId="77777777" w:rsidR="009E77E7" w:rsidRPr="009E77E7" w:rsidRDefault="009E77E7" w:rsidP="009E77E7">
      <w:pPr>
        <w:pStyle w:val="EndNoteBibliography"/>
        <w:rPr>
          <w:noProof/>
          <w:sz w:val="18"/>
          <w:szCs w:val="18"/>
        </w:rPr>
      </w:pPr>
      <w:r w:rsidRPr="009E77E7">
        <w:rPr>
          <w:noProof/>
          <w:sz w:val="18"/>
          <w:szCs w:val="18"/>
        </w:rPr>
        <w:t xml:space="preserve">6. Knight, M. and A. Goswami (2003). "Management of isthmic spondylolisthesis with posterolateral endoscopic foraminal decompression." </w:t>
      </w:r>
      <w:r w:rsidRPr="009E77E7">
        <w:rPr>
          <w:noProof/>
          <w:sz w:val="18"/>
          <w:szCs w:val="18"/>
          <w:u w:val="single"/>
        </w:rPr>
        <w:t>Spine</w:t>
      </w:r>
      <w:r w:rsidRPr="009E77E7">
        <w:rPr>
          <w:noProof/>
          <w:sz w:val="18"/>
          <w:szCs w:val="18"/>
        </w:rPr>
        <w:t xml:space="preserve"> </w:t>
      </w:r>
      <w:r w:rsidRPr="009E77E7">
        <w:rPr>
          <w:b/>
          <w:noProof/>
          <w:sz w:val="18"/>
          <w:szCs w:val="18"/>
        </w:rPr>
        <w:t>28</w:t>
      </w:r>
      <w:r w:rsidRPr="009E77E7">
        <w:rPr>
          <w:noProof/>
          <w:sz w:val="18"/>
          <w:szCs w:val="18"/>
        </w:rPr>
        <w:t>(6): 573-581.</w:t>
      </w:r>
    </w:p>
    <w:p w14:paraId="66A6598B" w14:textId="77777777" w:rsidR="009E77E7" w:rsidRPr="009E77E7" w:rsidRDefault="009E77E7" w:rsidP="009E77E7">
      <w:pPr>
        <w:pStyle w:val="EndNoteBibliography"/>
        <w:ind w:left="720" w:hanging="720"/>
        <w:rPr>
          <w:noProof/>
          <w:sz w:val="18"/>
          <w:szCs w:val="18"/>
        </w:rPr>
      </w:pPr>
      <w:r w:rsidRPr="009E77E7">
        <w:rPr>
          <w:noProof/>
          <w:sz w:val="18"/>
          <w:szCs w:val="18"/>
        </w:rPr>
        <w:tab/>
      </w:r>
    </w:p>
    <w:p w14:paraId="16C60849" w14:textId="77777777" w:rsidR="009E77E7" w:rsidRPr="009E77E7" w:rsidRDefault="009E77E7" w:rsidP="009E77E7">
      <w:pPr>
        <w:pStyle w:val="EndNoteBibliography"/>
        <w:rPr>
          <w:noProof/>
          <w:sz w:val="18"/>
          <w:szCs w:val="18"/>
        </w:rPr>
      </w:pPr>
      <w:r w:rsidRPr="009E77E7">
        <w:rPr>
          <w:noProof/>
          <w:sz w:val="18"/>
          <w:szCs w:val="18"/>
        </w:rPr>
        <w:t xml:space="preserve">7. Knight, M., et al. (1999). "Endoscopic laser foraminoplasty and a aware-state surgery: a treatment concept and 2-year outcome analysis." </w:t>
      </w:r>
      <w:r w:rsidRPr="009E77E7">
        <w:rPr>
          <w:noProof/>
          <w:sz w:val="18"/>
          <w:szCs w:val="18"/>
          <w:u w:val="single"/>
        </w:rPr>
        <w:t>Arthroskopie</w:t>
      </w:r>
      <w:r w:rsidRPr="009E77E7">
        <w:rPr>
          <w:noProof/>
          <w:sz w:val="18"/>
          <w:szCs w:val="18"/>
        </w:rPr>
        <w:t xml:space="preserve"> </w:t>
      </w:r>
      <w:r w:rsidRPr="009E77E7">
        <w:rPr>
          <w:b/>
          <w:noProof/>
          <w:sz w:val="18"/>
          <w:szCs w:val="18"/>
        </w:rPr>
        <w:t>12</w:t>
      </w:r>
      <w:r w:rsidRPr="009E77E7">
        <w:rPr>
          <w:noProof/>
          <w:sz w:val="18"/>
          <w:szCs w:val="18"/>
        </w:rPr>
        <w:t>(2): 62-73.</w:t>
      </w:r>
    </w:p>
    <w:p w14:paraId="4638913D" w14:textId="77777777" w:rsidR="009E77E7" w:rsidRPr="009E77E7" w:rsidRDefault="009E77E7" w:rsidP="009E77E7">
      <w:pPr>
        <w:pStyle w:val="EndNoteBibliography"/>
        <w:ind w:left="720" w:hanging="720"/>
        <w:rPr>
          <w:noProof/>
          <w:sz w:val="18"/>
          <w:szCs w:val="18"/>
        </w:rPr>
      </w:pPr>
      <w:r w:rsidRPr="009E77E7">
        <w:rPr>
          <w:noProof/>
          <w:sz w:val="18"/>
          <w:szCs w:val="18"/>
        </w:rPr>
        <w:tab/>
      </w:r>
    </w:p>
    <w:p w14:paraId="0328BE43" w14:textId="77777777" w:rsidR="009E77E7" w:rsidRPr="009E77E7" w:rsidRDefault="009E77E7" w:rsidP="009E77E7">
      <w:pPr>
        <w:pStyle w:val="EndNoteBibliography"/>
        <w:rPr>
          <w:noProof/>
          <w:sz w:val="18"/>
          <w:szCs w:val="18"/>
        </w:rPr>
      </w:pPr>
      <w:r w:rsidRPr="009E77E7">
        <w:rPr>
          <w:noProof/>
          <w:sz w:val="18"/>
          <w:szCs w:val="18"/>
        </w:rPr>
        <w:lastRenderedPageBreak/>
        <w:t xml:space="preserve">8. Knight, M., et al. (2000). "Comparative outcome of Holmium: YAG and KTP laser disc ablation in degenerative cervical disc disease: results of an ongoing study." </w:t>
      </w:r>
      <w:r w:rsidRPr="009E77E7">
        <w:rPr>
          <w:noProof/>
          <w:sz w:val="18"/>
          <w:szCs w:val="18"/>
          <w:u w:val="single"/>
        </w:rPr>
        <w:t>Ortopedia, traumatologia, rehabilitacja</w:t>
      </w:r>
      <w:r w:rsidRPr="009E77E7">
        <w:rPr>
          <w:noProof/>
          <w:sz w:val="18"/>
          <w:szCs w:val="18"/>
        </w:rPr>
        <w:t xml:space="preserve"> </w:t>
      </w:r>
      <w:r w:rsidRPr="009E77E7">
        <w:rPr>
          <w:b/>
          <w:noProof/>
          <w:sz w:val="18"/>
          <w:szCs w:val="18"/>
        </w:rPr>
        <w:t>2</w:t>
      </w:r>
      <w:r w:rsidRPr="009E77E7">
        <w:rPr>
          <w:noProof/>
          <w:sz w:val="18"/>
          <w:szCs w:val="18"/>
        </w:rPr>
        <w:t>(2): 39-43.</w:t>
      </w:r>
    </w:p>
    <w:p w14:paraId="4D17AF6F" w14:textId="77777777" w:rsidR="009E77E7" w:rsidRPr="009E77E7" w:rsidRDefault="009E77E7" w:rsidP="009E77E7">
      <w:pPr>
        <w:pStyle w:val="EndNoteBibliography"/>
        <w:ind w:left="720" w:hanging="720"/>
        <w:rPr>
          <w:noProof/>
          <w:sz w:val="18"/>
          <w:szCs w:val="18"/>
        </w:rPr>
      </w:pPr>
      <w:r w:rsidRPr="009E77E7">
        <w:rPr>
          <w:noProof/>
          <w:sz w:val="18"/>
          <w:szCs w:val="18"/>
        </w:rPr>
        <w:tab/>
      </w:r>
    </w:p>
    <w:p w14:paraId="20B21DC7" w14:textId="77777777" w:rsidR="009E77E7" w:rsidRPr="009E77E7" w:rsidRDefault="009E77E7" w:rsidP="009E77E7">
      <w:pPr>
        <w:pStyle w:val="EndNoteBibliography"/>
        <w:rPr>
          <w:noProof/>
          <w:sz w:val="18"/>
          <w:szCs w:val="18"/>
        </w:rPr>
      </w:pPr>
      <w:r w:rsidRPr="009E77E7">
        <w:rPr>
          <w:noProof/>
          <w:sz w:val="18"/>
          <w:szCs w:val="18"/>
        </w:rPr>
        <w:t xml:space="preserve">9. Knight, M., et al. (2001). Endoscopic foraminoplasty: An independent prospective evaluation. </w:t>
      </w:r>
      <w:r w:rsidRPr="009E77E7">
        <w:rPr>
          <w:noProof/>
          <w:sz w:val="18"/>
          <w:szCs w:val="18"/>
          <w:u w:val="single"/>
        </w:rPr>
        <w:t>Lasers in the Musculoskeletal System</w:t>
      </w:r>
      <w:r w:rsidRPr="009E77E7">
        <w:rPr>
          <w:noProof/>
          <w:sz w:val="18"/>
          <w:szCs w:val="18"/>
        </w:rPr>
        <w:t>, Springer</w:t>
      </w:r>
      <w:r w:rsidRPr="009E77E7">
        <w:rPr>
          <w:b/>
          <w:noProof/>
          <w:sz w:val="18"/>
          <w:szCs w:val="18"/>
        </w:rPr>
        <w:t xml:space="preserve">: </w:t>
      </w:r>
      <w:r w:rsidRPr="009E77E7">
        <w:rPr>
          <w:noProof/>
          <w:sz w:val="18"/>
          <w:szCs w:val="18"/>
        </w:rPr>
        <w:t>320-329.</w:t>
      </w:r>
    </w:p>
    <w:p w14:paraId="6C2D2DB6" w14:textId="77777777" w:rsidR="009E77E7" w:rsidRPr="009E77E7" w:rsidRDefault="009E77E7" w:rsidP="009E77E7">
      <w:pPr>
        <w:pStyle w:val="EndNoteBibliography"/>
        <w:ind w:left="720" w:hanging="720"/>
        <w:rPr>
          <w:noProof/>
          <w:sz w:val="18"/>
          <w:szCs w:val="18"/>
        </w:rPr>
      </w:pPr>
      <w:r w:rsidRPr="009E77E7">
        <w:rPr>
          <w:noProof/>
          <w:sz w:val="18"/>
          <w:szCs w:val="18"/>
        </w:rPr>
        <w:tab/>
      </w:r>
    </w:p>
    <w:p w14:paraId="1C3F97D4" w14:textId="77777777" w:rsidR="009E77E7" w:rsidRPr="009E77E7" w:rsidRDefault="009E77E7" w:rsidP="009E77E7">
      <w:pPr>
        <w:pStyle w:val="EndNoteBibliography"/>
        <w:rPr>
          <w:noProof/>
          <w:sz w:val="18"/>
          <w:szCs w:val="18"/>
        </w:rPr>
      </w:pPr>
      <w:r w:rsidRPr="009E77E7">
        <w:rPr>
          <w:noProof/>
          <w:sz w:val="18"/>
          <w:szCs w:val="18"/>
        </w:rPr>
        <w:t xml:space="preserve">10. Knight, M., et al. (1998). "Endoscopic laser foraminoplasty on the lumbar spine-early experience." </w:t>
      </w:r>
      <w:r w:rsidRPr="009E77E7">
        <w:rPr>
          <w:noProof/>
          <w:sz w:val="18"/>
          <w:szCs w:val="18"/>
          <w:u w:val="single"/>
        </w:rPr>
        <w:t>min-Minimally Invasive Neurosurgery</w:t>
      </w:r>
      <w:r w:rsidRPr="009E77E7">
        <w:rPr>
          <w:noProof/>
          <w:sz w:val="18"/>
          <w:szCs w:val="18"/>
        </w:rPr>
        <w:t xml:space="preserve"> </w:t>
      </w:r>
      <w:r w:rsidRPr="009E77E7">
        <w:rPr>
          <w:b/>
          <w:noProof/>
          <w:sz w:val="18"/>
          <w:szCs w:val="18"/>
        </w:rPr>
        <w:t>41</w:t>
      </w:r>
      <w:r w:rsidRPr="009E77E7">
        <w:rPr>
          <w:noProof/>
          <w:sz w:val="18"/>
          <w:szCs w:val="18"/>
        </w:rPr>
        <w:t>(01): 5-9.</w:t>
      </w:r>
    </w:p>
    <w:p w14:paraId="4EB06B78" w14:textId="77777777" w:rsidR="009E77E7" w:rsidRPr="009E77E7" w:rsidRDefault="009E77E7" w:rsidP="009E77E7">
      <w:pPr>
        <w:pStyle w:val="EndNoteBibliography"/>
        <w:ind w:left="720" w:hanging="720"/>
        <w:rPr>
          <w:noProof/>
          <w:sz w:val="18"/>
          <w:szCs w:val="18"/>
        </w:rPr>
      </w:pPr>
      <w:r w:rsidRPr="009E77E7">
        <w:rPr>
          <w:noProof/>
          <w:sz w:val="18"/>
          <w:szCs w:val="18"/>
        </w:rPr>
        <w:tab/>
      </w:r>
    </w:p>
    <w:p w14:paraId="6117B10F" w14:textId="77777777" w:rsidR="009E77E7" w:rsidRPr="009E77E7" w:rsidRDefault="009E77E7" w:rsidP="009E77E7">
      <w:pPr>
        <w:pStyle w:val="EndNoteBibliography"/>
        <w:rPr>
          <w:noProof/>
          <w:sz w:val="18"/>
          <w:szCs w:val="18"/>
        </w:rPr>
      </w:pPr>
      <w:r w:rsidRPr="009E77E7">
        <w:rPr>
          <w:noProof/>
          <w:sz w:val="18"/>
          <w:szCs w:val="18"/>
        </w:rPr>
        <w:t xml:space="preserve">11. Knight, M. T. (2000). "Endoscopic laser foraminoplasty." </w:t>
      </w:r>
      <w:r w:rsidRPr="009E77E7">
        <w:rPr>
          <w:noProof/>
          <w:sz w:val="18"/>
          <w:szCs w:val="18"/>
          <w:u w:val="single"/>
        </w:rPr>
        <w:t>The practice of minimally invasive spinal technique</w:t>
      </w:r>
      <w:r w:rsidRPr="009E77E7">
        <w:rPr>
          <w:noProof/>
          <w:sz w:val="18"/>
          <w:szCs w:val="18"/>
        </w:rPr>
        <w:t xml:space="preserve"> </w:t>
      </w:r>
      <w:r w:rsidRPr="009E77E7">
        <w:rPr>
          <w:b/>
          <w:noProof/>
          <w:sz w:val="18"/>
          <w:szCs w:val="18"/>
        </w:rPr>
        <w:t>42</w:t>
      </w:r>
      <w:r w:rsidRPr="009E77E7">
        <w:rPr>
          <w:noProof/>
          <w:sz w:val="18"/>
          <w:szCs w:val="18"/>
        </w:rPr>
        <w:t>: 337-340.</w:t>
      </w:r>
    </w:p>
    <w:p w14:paraId="64F07DD0" w14:textId="77777777" w:rsidR="009E77E7" w:rsidRPr="009E77E7" w:rsidRDefault="009E77E7" w:rsidP="009E77E7">
      <w:pPr>
        <w:pStyle w:val="EndNoteBibliography"/>
        <w:ind w:left="720" w:hanging="720"/>
        <w:rPr>
          <w:noProof/>
          <w:sz w:val="18"/>
          <w:szCs w:val="18"/>
        </w:rPr>
      </w:pPr>
      <w:r w:rsidRPr="009E77E7">
        <w:rPr>
          <w:noProof/>
          <w:sz w:val="18"/>
          <w:szCs w:val="18"/>
        </w:rPr>
        <w:tab/>
      </w:r>
    </w:p>
    <w:p w14:paraId="79178DF1" w14:textId="77777777" w:rsidR="009E77E7" w:rsidRPr="009E77E7" w:rsidRDefault="009E77E7" w:rsidP="009E77E7">
      <w:pPr>
        <w:pStyle w:val="EndNoteBibliography"/>
        <w:rPr>
          <w:noProof/>
          <w:sz w:val="18"/>
          <w:szCs w:val="18"/>
        </w:rPr>
      </w:pPr>
      <w:r w:rsidRPr="009E77E7">
        <w:rPr>
          <w:noProof/>
          <w:sz w:val="18"/>
          <w:szCs w:val="18"/>
        </w:rPr>
        <w:t xml:space="preserve">12. Knight, M. T. (2013). "Laser assisted percutaneous and endoscopic lumbar discectomy." </w:t>
      </w:r>
      <w:r w:rsidRPr="009E77E7">
        <w:rPr>
          <w:noProof/>
          <w:sz w:val="18"/>
          <w:szCs w:val="18"/>
          <w:u w:val="single"/>
        </w:rPr>
        <w:t>Textbook of Surgical Management of Lumbar Disc Herniation</w:t>
      </w:r>
      <w:r w:rsidRPr="009E77E7">
        <w:rPr>
          <w:noProof/>
          <w:sz w:val="18"/>
          <w:szCs w:val="18"/>
        </w:rPr>
        <w:t>: 219.</w:t>
      </w:r>
    </w:p>
    <w:p w14:paraId="17AD60A5" w14:textId="77777777" w:rsidR="009E77E7" w:rsidRPr="009E77E7" w:rsidRDefault="009E77E7" w:rsidP="009E77E7">
      <w:pPr>
        <w:pStyle w:val="EndNoteBibliography"/>
        <w:ind w:left="720" w:hanging="720"/>
        <w:rPr>
          <w:noProof/>
          <w:sz w:val="18"/>
          <w:szCs w:val="18"/>
        </w:rPr>
      </w:pPr>
      <w:r w:rsidRPr="009E77E7">
        <w:rPr>
          <w:noProof/>
          <w:sz w:val="18"/>
          <w:szCs w:val="18"/>
        </w:rPr>
        <w:tab/>
      </w:r>
    </w:p>
    <w:p w14:paraId="71616AC9" w14:textId="77777777" w:rsidR="009E77E7" w:rsidRPr="009E77E7" w:rsidRDefault="009E77E7" w:rsidP="009E77E7">
      <w:pPr>
        <w:pStyle w:val="EndNoteBibliography"/>
        <w:rPr>
          <w:noProof/>
          <w:sz w:val="18"/>
          <w:szCs w:val="18"/>
        </w:rPr>
      </w:pPr>
      <w:r w:rsidRPr="009E77E7">
        <w:rPr>
          <w:noProof/>
          <w:sz w:val="18"/>
          <w:szCs w:val="18"/>
        </w:rPr>
        <w:t xml:space="preserve">13. Knight, M. T., et al. (2001). "Review of safety in endoscopic laser foraminoplasty for the management of back pain." </w:t>
      </w:r>
      <w:r w:rsidRPr="009E77E7">
        <w:rPr>
          <w:noProof/>
          <w:sz w:val="18"/>
          <w:szCs w:val="18"/>
          <w:u w:val="single"/>
        </w:rPr>
        <w:t>Journal of clinical laser medicine &amp; surgery</w:t>
      </w:r>
      <w:r w:rsidRPr="009E77E7">
        <w:rPr>
          <w:noProof/>
          <w:sz w:val="18"/>
          <w:szCs w:val="18"/>
        </w:rPr>
        <w:t xml:space="preserve"> </w:t>
      </w:r>
      <w:r w:rsidRPr="009E77E7">
        <w:rPr>
          <w:b/>
          <w:noProof/>
          <w:sz w:val="18"/>
          <w:szCs w:val="18"/>
        </w:rPr>
        <w:t>19</w:t>
      </w:r>
      <w:r w:rsidRPr="009E77E7">
        <w:rPr>
          <w:noProof/>
          <w:sz w:val="18"/>
          <w:szCs w:val="18"/>
        </w:rPr>
        <w:t>(3): 147-157.</w:t>
      </w:r>
    </w:p>
    <w:p w14:paraId="414AA0D9" w14:textId="77777777" w:rsidR="009E77E7" w:rsidRPr="009E77E7" w:rsidRDefault="009E77E7" w:rsidP="009E77E7">
      <w:pPr>
        <w:pStyle w:val="EndNoteBibliography"/>
        <w:ind w:left="720" w:hanging="720"/>
        <w:rPr>
          <w:noProof/>
          <w:sz w:val="18"/>
          <w:szCs w:val="18"/>
        </w:rPr>
      </w:pPr>
      <w:r w:rsidRPr="009E77E7">
        <w:rPr>
          <w:noProof/>
          <w:sz w:val="18"/>
          <w:szCs w:val="18"/>
        </w:rPr>
        <w:tab/>
      </w:r>
    </w:p>
    <w:p w14:paraId="67097A2C" w14:textId="77777777" w:rsidR="009E77E7" w:rsidRPr="009E77E7" w:rsidRDefault="009E77E7" w:rsidP="009E77E7">
      <w:pPr>
        <w:pStyle w:val="EndNoteBibliography"/>
        <w:rPr>
          <w:noProof/>
          <w:sz w:val="18"/>
          <w:szCs w:val="18"/>
        </w:rPr>
      </w:pPr>
      <w:r w:rsidRPr="009E77E7">
        <w:rPr>
          <w:noProof/>
          <w:sz w:val="18"/>
          <w:szCs w:val="18"/>
        </w:rPr>
        <w:t xml:space="preserve">14. Knight, M. T., et al. (2001). "Endoscopic foraminoplasty: a prospective study on 250 consecutive patients with independent evaluation." </w:t>
      </w:r>
      <w:r w:rsidRPr="009E77E7">
        <w:rPr>
          <w:noProof/>
          <w:sz w:val="18"/>
          <w:szCs w:val="18"/>
          <w:u w:val="single"/>
        </w:rPr>
        <w:t>Journal of clinical laser medicine &amp; surgery</w:t>
      </w:r>
      <w:r w:rsidRPr="009E77E7">
        <w:rPr>
          <w:noProof/>
          <w:sz w:val="18"/>
          <w:szCs w:val="18"/>
        </w:rPr>
        <w:t xml:space="preserve"> </w:t>
      </w:r>
      <w:r w:rsidRPr="009E77E7">
        <w:rPr>
          <w:b/>
          <w:noProof/>
          <w:sz w:val="18"/>
          <w:szCs w:val="18"/>
        </w:rPr>
        <w:t>19</w:t>
      </w:r>
      <w:r w:rsidRPr="009E77E7">
        <w:rPr>
          <w:noProof/>
          <w:sz w:val="18"/>
          <w:szCs w:val="18"/>
        </w:rPr>
        <w:t>(2): 73-81.</w:t>
      </w:r>
    </w:p>
    <w:p w14:paraId="71A0E5EA" w14:textId="77777777" w:rsidR="009E77E7" w:rsidRPr="009E77E7" w:rsidRDefault="009E77E7" w:rsidP="009E77E7">
      <w:pPr>
        <w:pStyle w:val="EndNoteBibliography"/>
        <w:ind w:left="720" w:hanging="720"/>
        <w:rPr>
          <w:noProof/>
          <w:sz w:val="18"/>
          <w:szCs w:val="18"/>
        </w:rPr>
      </w:pPr>
      <w:r w:rsidRPr="009E77E7">
        <w:rPr>
          <w:noProof/>
          <w:sz w:val="18"/>
          <w:szCs w:val="18"/>
        </w:rPr>
        <w:tab/>
      </w:r>
    </w:p>
    <w:p w14:paraId="44A12C7B" w14:textId="77777777" w:rsidR="009E77E7" w:rsidRPr="009E77E7" w:rsidRDefault="009E77E7" w:rsidP="009E77E7">
      <w:pPr>
        <w:pStyle w:val="EndNoteBibliography"/>
        <w:rPr>
          <w:noProof/>
          <w:sz w:val="18"/>
          <w:szCs w:val="18"/>
        </w:rPr>
      </w:pPr>
      <w:r w:rsidRPr="009E77E7">
        <w:rPr>
          <w:noProof/>
          <w:sz w:val="18"/>
          <w:szCs w:val="18"/>
        </w:rPr>
        <w:t xml:space="preserve">15. Knight, M. T., et al. (2014). "Transforaminal endoscopic lumbar decompression &amp; foraminoplasty: a 10 year prospective survivability outcome study of the treatment of foraminal stenosis and failed back surgery." </w:t>
      </w:r>
      <w:r w:rsidRPr="009E77E7">
        <w:rPr>
          <w:noProof/>
          <w:sz w:val="18"/>
          <w:szCs w:val="18"/>
          <w:u w:val="single"/>
        </w:rPr>
        <w:t>International journal of spine surgery</w:t>
      </w:r>
      <w:r w:rsidRPr="009E77E7">
        <w:rPr>
          <w:noProof/>
          <w:sz w:val="18"/>
          <w:szCs w:val="18"/>
        </w:rPr>
        <w:t xml:space="preserve"> </w:t>
      </w:r>
      <w:r w:rsidRPr="009E77E7">
        <w:rPr>
          <w:b/>
          <w:noProof/>
          <w:sz w:val="18"/>
          <w:szCs w:val="18"/>
        </w:rPr>
        <w:t>8</w:t>
      </w:r>
      <w:r w:rsidRPr="009E77E7">
        <w:rPr>
          <w:noProof/>
          <w:sz w:val="18"/>
          <w:szCs w:val="18"/>
        </w:rPr>
        <w:t>: 21.</w:t>
      </w:r>
    </w:p>
    <w:p w14:paraId="763448DE" w14:textId="77777777" w:rsidR="009E77E7" w:rsidRPr="009E77E7" w:rsidRDefault="009E77E7" w:rsidP="009E77E7">
      <w:pPr>
        <w:pStyle w:val="EndNoteBibliography"/>
        <w:ind w:left="720" w:hanging="720"/>
        <w:rPr>
          <w:noProof/>
          <w:sz w:val="18"/>
          <w:szCs w:val="18"/>
        </w:rPr>
      </w:pPr>
      <w:r w:rsidRPr="009E77E7">
        <w:rPr>
          <w:noProof/>
          <w:sz w:val="18"/>
          <w:szCs w:val="18"/>
        </w:rPr>
        <w:tab/>
      </w:r>
    </w:p>
    <w:p w14:paraId="4EDC52DA" w14:textId="77777777" w:rsidR="009E77E7" w:rsidRPr="009E77E7" w:rsidRDefault="009E77E7" w:rsidP="009E77E7">
      <w:pPr>
        <w:pStyle w:val="EndNoteBibliography"/>
        <w:rPr>
          <w:noProof/>
          <w:sz w:val="18"/>
          <w:szCs w:val="18"/>
        </w:rPr>
      </w:pPr>
      <w:r w:rsidRPr="009E77E7">
        <w:rPr>
          <w:noProof/>
          <w:sz w:val="18"/>
          <w:szCs w:val="18"/>
        </w:rPr>
        <w:t xml:space="preserve">16. Knight, M. T. N. (2002). </w:t>
      </w:r>
      <w:r w:rsidRPr="009E77E7">
        <w:rPr>
          <w:noProof/>
          <w:sz w:val="18"/>
          <w:szCs w:val="18"/>
          <w:u w:val="single"/>
        </w:rPr>
        <w:t>Evolution of Endoscopic Laser Foraminoplasty</w:t>
      </w:r>
      <w:r w:rsidRPr="009E77E7">
        <w:rPr>
          <w:noProof/>
          <w:sz w:val="18"/>
          <w:szCs w:val="18"/>
        </w:rPr>
        <w:t>, University of Manchester.</w:t>
      </w:r>
    </w:p>
    <w:p w14:paraId="756345BE" w14:textId="77777777" w:rsidR="009E77E7" w:rsidRPr="009E77E7" w:rsidRDefault="009E77E7" w:rsidP="009E77E7">
      <w:pPr>
        <w:pStyle w:val="EndNoteBibliography"/>
        <w:ind w:left="720" w:hanging="720"/>
        <w:rPr>
          <w:noProof/>
          <w:sz w:val="18"/>
          <w:szCs w:val="18"/>
        </w:rPr>
      </w:pPr>
      <w:r w:rsidRPr="009E77E7">
        <w:rPr>
          <w:noProof/>
          <w:sz w:val="18"/>
          <w:szCs w:val="18"/>
        </w:rPr>
        <w:tab/>
      </w:r>
    </w:p>
    <w:p w14:paraId="02472BDE" w14:textId="4F7BD5F1" w:rsidR="007C0C7C" w:rsidRPr="009E77E7" w:rsidRDefault="009E77E7" w:rsidP="009E77E7">
      <w:r w:rsidRPr="009E77E7">
        <w:rPr>
          <w:sz w:val="18"/>
          <w:szCs w:val="18"/>
        </w:rPr>
        <w:fldChar w:fldCharType="end"/>
      </w:r>
      <w:bookmarkStart w:id="0" w:name="_GoBack"/>
      <w:bookmarkEnd w:id="0"/>
    </w:p>
    <w:p w14:paraId="553A3FB6"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36AB014F"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0D49B3D" wp14:editId="0754602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5FAC01A"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037E37C8" w14:textId="77777777" w:rsidR="004253BF" w:rsidRDefault="008756E6" w:rsidP="00404E5B">
      <w:pPr>
        <w:spacing w:before="92"/>
        <w:ind w:right="4234"/>
        <w:rPr>
          <w:noProof/>
        </w:rPr>
      </w:pPr>
      <w:r>
        <w:rPr>
          <w:noProof/>
        </w:rPr>
        <w:t xml:space="preserve">              </w:t>
      </w:r>
      <w:r w:rsidR="004253BF">
        <w:rPr>
          <w:rFonts w:ascii="Arial"/>
          <w:noProof/>
          <w:color w:val="BF5A14"/>
        </w:rPr>
        <w:drawing>
          <wp:inline distT="0" distB="0" distL="0" distR="0" wp14:anchorId="4E975CA0" wp14:editId="66128D56">
            <wp:extent cx="876284" cy="916287"/>
            <wp:effectExtent l="0" t="0" r="635" b="0"/>
            <wp:docPr id="4" name="Picture 4" descr="Martin Knight oblique side 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K Mug Shot May 2016 1Mb.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01529" cy="942684"/>
                    </a:xfrm>
                    <a:prstGeom prst="rect">
                      <a:avLst/>
                    </a:prstGeom>
                  </pic:spPr>
                </pic:pic>
              </a:graphicData>
            </a:graphic>
          </wp:inline>
        </w:drawing>
      </w:r>
    </w:p>
    <w:p w14:paraId="595E0585" w14:textId="25DF52F5"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3FCB500F" w14:textId="77777777" w:rsidR="00F166ED" w:rsidRPr="00F166ED" w:rsidRDefault="00F166ED" w:rsidP="00F166ED">
      <w:pPr>
        <w:rPr>
          <w:rFonts w:ascii="Calibri" w:hAnsi="Calibri" w:cs="Calibri"/>
          <w:color w:val="666666"/>
          <w:sz w:val="18"/>
          <w:szCs w:val="18"/>
          <w:shd w:val="clear" w:color="auto" w:fill="FFFFFF"/>
        </w:rPr>
      </w:pPr>
      <w:proofErr w:type="spellStart"/>
      <w:r w:rsidRPr="00F166ED">
        <w:rPr>
          <w:rFonts w:ascii="Calibri" w:hAnsi="Calibri" w:cs="Calibri"/>
          <w:b/>
          <w:bCs/>
          <w:color w:val="666666"/>
          <w:sz w:val="18"/>
          <w:szCs w:val="18"/>
          <w:shd w:val="clear" w:color="auto" w:fill="FFFFFF"/>
        </w:rPr>
        <w:t>Mr</w:t>
      </w:r>
      <w:proofErr w:type="spellEnd"/>
      <w:r w:rsidRPr="00F166ED">
        <w:rPr>
          <w:rFonts w:ascii="Calibri" w:hAnsi="Calibri" w:cs="Calibri"/>
          <w:b/>
          <w:bCs/>
          <w:color w:val="666666"/>
          <w:sz w:val="18"/>
          <w:szCs w:val="18"/>
          <w:shd w:val="clear" w:color="auto" w:fill="FFFFFF"/>
        </w:rPr>
        <w:t xml:space="preserve"> Martin Knight</w:t>
      </w:r>
      <w:r w:rsidRPr="00F166ED">
        <w:rPr>
          <w:rFonts w:ascii="Calibri" w:hAnsi="Calibri" w:cs="Calibri"/>
          <w:color w:val="666666"/>
          <w:sz w:val="18"/>
          <w:szCs w:val="18"/>
          <w:shd w:val="clear" w:color="auto" w:fill="FFFFFF"/>
        </w:rPr>
        <w:t> is a pioneering </w:t>
      </w:r>
      <w:r w:rsidRPr="00F166ED">
        <w:rPr>
          <w:rFonts w:ascii="Calibri" w:hAnsi="Calibri" w:cs="Calibri"/>
          <w:b/>
          <w:bCs/>
          <w:color w:val="666666"/>
          <w:sz w:val="18"/>
          <w:szCs w:val="18"/>
          <w:shd w:val="clear" w:color="auto" w:fill="FFFFFF"/>
        </w:rPr>
        <w:t>endoscopic minimally-invasive spinal surgeon</w:t>
      </w:r>
      <w:r w:rsidRPr="00F166ED">
        <w:rPr>
          <w:rFonts w:ascii="Calibri" w:hAnsi="Calibri" w:cs="Calibri"/>
          <w:color w:val="666666"/>
          <w:sz w:val="18"/>
          <w:szCs w:val="18"/>
          <w:shd w:val="clear" w:color="auto" w:fill="FFFFFF"/>
        </w:rPr>
        <w:t xml:space="preserve"> known for pushing the boundaries of surgical techniques and developing what we now know as </w:t>
      </w:r>
      <w:proofErr w:type="spellStart"/>
      <w:r w:rsidRPr="00F166ED">
        <w:rPr>
          <w:rFonts w:ascii="Calibri" w:hAnsi="Calibri" w:cs="Calibri"/>
          <w:color w:val="666666"/>
          <w:sz w:val="18"/>
          <w:szCs w:val="18"/>
          <w:shd w:val="clear" w:color="auto" w:fill="FFFFFF"/>
        </w:rPr>
        <w:t>personalised</w:t>
      </w:r>
      <w:proofErr w:type="spellEnd"/>
      <w:r w:rsidRPr="00F166ED">
        <w:rPr>
          <w:rFonts w:ascii="Calibri" w:hAnsi="Calibri" w:cs="Calibri"/>
          <w:color w:val="666666"/>
          <w:sz w:val="18"/>
          <w:szCs w:val="18"/>
          <w:shd w:val="clear" w:color="auto" w:fill="FFFFFF"/>
        </w:rPr>
        <w:t xml:space="preserve"> tailored spinal surgery. </w:t>
      </w:r>
      <w:proofErr w:type="spellStart"/>
      <w:r w:rsidRPr="00F166ED">
        <w:rPr>
          <w:rFonts w:ascii="Calibri" w:hAnsi="Calibri" w:cs="Calibri"/>
          <w:color w:val="666666"/>
          <w:sz w:val="18"/>
          <w:szCs w:val="18"/>
          <w:shd w:val="clear" w:color="auto" w:fill="FFFFFF"/>
        </w:rPr>
        <w:t>Mr</w:t>
      </w:r>
      <w:proofErr w:type="spellEnd"/>
      <w:r w:rsidRPr="00F166ED">
        <w:rPr>
          <w:rFonts w:ascii="Calibri" w:hAnsi="Calibri" w:cs="Calibri"/>
          <w:color w:val="666666"/>
          <w:sz w:val="18"/>
          <w:szCs w:val="18"/>
          <w:shd w:val="clear" w:color="auto" w:fill="FFFFFF"/>
        </w:rPr>
        <w:t xml:space="preserve"> Knight is an expert in treating degenerative disc disease, sciatica, slipped disc, spinal stenosis, spondylolisthesis, “Instability”, discogenic pain, annular tears and failed back surgery.</w:t>
      </w:r>
      <w:r w:rsidRPr="00F166ED">
        <w:rPr>
          <w:rFonts w:ascii="Calibri" w:hAnsi="Calibri" w:cs="Calibri"/>
          <w:color w:val="666666"/>
          <w:sz w:val="18"/>
          <w:szCs w:val="18"/>
        </w:rPr>
        <w:br/>
      </w:r>
      <w:r w:rsidRPr="00F166ED">
        <w:rPr>
          <w:rFonts w:ascii="Calibri" w:hAnsi="Calibri" w:cs="Calibri"/>
          <w:color w:val="666666"/>
          <w:sz w:val="18"/>
          <w:szCs w:val="18"/>
        </w:rPr>
        <w:br/>
      </w:r>
      <w:r w:rsidRPr="00F166ED">
        <w:rPr>
          <w:rFonts w:ascii="Calibri" w:hAnsi="Calibri" w:cs="Calibri"/>
          <w:color w:val="666666"/>
          <w:sz w:val="18"/>
          <w:szCs w:val="18"/>
          <w:shd w:val="clear" w:color="auto" w:fill="FFFFFF"/>
        </w:rPr>
        <w:t xml:space="preserve">After training at St Bartholomew's and St Thomas', The Royal Postgraduate Medical School he started his consultant career as an </w:t>
      </w:r>
      <w:proofErr w:type="spellStart"/>
      <w:r w:rsidRPr="00F166ED">
        <w:rPr>
          <w:rFonts w:ascii="Calibri" w:hAnsi="Calibri" w:cs="Calibri"/>
          <w:color w:val="666666"/>
          <w:sz w:val="18"/>
          <w:szCs w:val="18"/>
          <w:shd w:val="clear" w:color="auto" w:fill="FFFFFF"/>
        </w:rPr>
        <w:t>Orthopaedic</w:t>
      </w:r>
      <w:proofErr w:type="spellEnd"/>
      <w:r w:rsidRPr="00F166ED">
        <w:rPr>
          <w:rFonts w:ascii="Calibri" w:hAnsi="Calibri" w:cs="Calibri"/>
          <w:color w:val="666666"/>
          <w:sz w:val="18"/>
          <w:szCs w:val="18"/>
          <w:shd w:val="clear" w:color="auto" w:fill="FFFFFF"/>
        </w:rPr>
        <w:t xml:space="preserve"> surgeon in the Royal Navy. Thereafter as an NHS consultant, he committed to </w:t>
      </w:r>
      <w:proofErr w:type="spellStart"/>
      <w:r w:rsidRPr="00F166ED">
        <w:rPr>
          <w:rFonts w:ascii="Calibri" w:hAnsi="Calibri" w:cs="Calibri"/>
          <w:color w:val="666666"/>
          <w:sz w:val="18"/>
          <w:szCs w:val="18"/>
          <w:shd w:val="clear" w:color="auto" w:fill="FFFFFF"/>
        </w:rPr>
        <w:t>revolutionising</w:t>
      </w:r>
      <w:proofErr w:type="spellEnd"/>
      <w:r w:rsidRPr="00F166ED">
        <w:rPr>
          <w:rFonts w:ascii="Calibri" w:hAnsi="Calibri" w:cs="Calibri"/>
          <w:color w:val="666666"/>
          <w:sz w:val="18"/>
          <w:szCs w:val="18"/>
          <w:shd w:val="clear" w:color="auto" w:fill="FFFFFF"/>
        </w:rPr>
        <w:t xml:space="preserve"> the use of endoscopic techniques in spinal surgery and to this day continues to push the envelope of what is possible. </w:t>
      </w:r>
    </w:p>
    <w:p w14:paraId="75CB31FA" w14:textId="77777777" w:rsidR="00F166ED" w:rsidRPr="00F166ED" w:rsidRDefault="00F166ED" w:rsidP="00F166ED">
      <w:pPr>
        <w:rPr>
          <w:rFonts w:ascii="Calibri" w:hAnsi="Calibri" w:cs="Calibri"/>
          <w:color w:val="666666"/>
          <w:sz w:val="18"/>
          <w:szCs w:val="18"/>
          <w:shd w:val="clear" w:color="auto" w:fill="FFFFFF"/>
        </w:rPr>
      </w:pPr>
    </w:p>
    <w:p w14:paraId="0F493E8E" w14:textId="77777777" w:rsidR="00F166ED" w:rsidRPr="00F166ED" w:rsidRDefault="00F166ED" w:rsidP="00F166ED">
      <w:pPr>
        <w:rPr>
          <w:rFonts w:ascii="Calibri" w:hAnsi="Calibri" w:cs="Calibri"/>
          <w:sz w:val="18"/>
          <w:szCs w:val="18"/>
        </w:rPr>
      </w:pPr>
      <w:proofErr w:type="spellStart"/>
      <w:r w:rsidRPr="00F166ED">
        <w:rPr>
          <w:rFonts w:ascii="Calibri" w:hAnsi="Calibri" w:cs="Calibri"/>
          <w:color w:val="666666"/>
          <w:sz w:val="18"/>
          <w:szCs w:val="18"/>
          <w:shd w:val="clear" w:color="auto" w:fill="FFFFFF"/>
        </w:rPr>
        <w:t>Mr</w:t>
      </w:r>
      <w:proofErr w:type="spellEnd"/>
      <w:r w:rsidRPr="00F166ED">
        <w:rPr>
          <w:rFonts w:ascii="Calibri" w:hAnsi="Calibri" w:cs="Calibri"/>
          <w:color w:val="666666"/>
          <w:sz w:val="18"/>
          <w:szCs w:val="18"/>
          <w:shd w:val="clear" w:color="auto" w:fill="FFFFFF"/>
        </w:rPr>
        <w:t xml:space="preserve"> Knight is an honorary Senior Lecturer at the University of Manchester and the University of Central Lancashire, developing Advanced Instrumentation and Disc Regenerative Surgery.  He is currently the medical director of </w:t>
      </w:r>
      <w:r w:rsidRPr="00F166ED">
        <w:rPr>
          <w:rFonts w:ascii="Calibri" w:hAnsi="Calibri" w:cs="Calibri"/>
          <w:b/>
          <w:bCs/>
          <w:color w:val="666666"/>
          <w:sz w:val="18"/>
          <w:szCs w:val="18"/>
          <w:shd w:val="clear" w:color="auto" w:fill="FFFFFF"/>
        </w:rPr>
        <w:t>The Spinal Foundation </w:t>
      </w:r>
      <w:r w:rsidRPr="00F166ED">
        <w:rPr>
          <w:rFonts w:ascii="Calibri" w:hAnsi="Calibri" w:cs="Calibri"/>
          <w:color w:val="666666"/>
          <w:sz w:val="18"/>
          <w:szCs w:val="18"/>
          <w:shd w:val="clear" w:color="auto" w:fill="FFFFFF"/>
        </w:rPr>
        <w:t>on</w:t>
      </w:r>
      <w:r w:rsidRPr="00F166ED">
        <w:rPr>
          <w:rFonts w:ascii="Calibri" w:hAnsi="Calibri" w:cs="Calibri"/>
          <w:b/>
          <w:bCs/>
          <w:color w:val="666666"/>
          <w:sz w:val="18"/>
          <w:szCs w:val="18"/>
          <w:shd w:val="clear" w:color="auto" w:fill="FFFFFF"/>
        </w:rPr>
        <w:t> Harley Street, London.</w:t>
      </w:r>
    </w:p>
    <w:p w14:paraId="2533CDED" w14:textId="26CC65FB" w:rsidR="00AE3E37" w:rsidRDefault="00A9710C">
      <w:pPr>
        <w:spacing w:before="62"/>
        <w:ind w:left="4217" w:right="4235"/>
        <w:jc w:val="center"/>
        <w:rPr>
          <w:rFonts w:ascii="Arial"/>
          <w:sz w:val="14"/>
        </w:rPr>
      </w:pPr>
      <w:r>
        <w:rPr>
          <w:rFonts w:ascii="Arial"/>
          <w:sz w:val="14"/>
        </w:rPr>
        <w:t xml:space="preserve">Email: </w:t>
      </w:r>
      <w:hyperlink r:id="rId12" w:history="1">
        <w:r w:rsidR="00B94BE0" w:rsidRPr="00574270">
          <w:rPr>
            <w:rStyle w:val="Hyperlink"/>
            <w:rFonts w:ascii="Arial"/>
            <w:sz w:val="14"/>
          </w:rPr>
          <w:t>mknight@spinal-foundation.org</w:t>
        </w:r>
      </w:hyperlink>
    </w:p>
    <w:p w14:paraId="4F6FC999"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A4AF083" wp14:editId="47F98A2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18E19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14:paraId="0E95DDE2" w14:textId="77777777" w:rsidR="00AE3E37" w:rsidRDefault="00AE3E37">
      <w:pPr>
        <w:pStyle w:val="BodyText"/>
        <w:rPr>
          <w:rFonts w:ascii="Arial"/>
          <w:sz w:val="20"/>
        </w:rPr>
      </w:pPr>
    </w:p>
    <w:p w14:paraId="266DDEC6" w14:textId="77777777" w:rsidR="00AE3E37" w:rsidRDefault="00AE3E37">
      <w:pPr>
        <w:pStyle w:val="BodyText"/>
        <w:rPr>
          <w:rFonts w:ascii="Arial"/>
          <w:sz w:val="20"/>
        </w:rPr>
      </w:pPr>
    </w:p>
    <w:p w14:paraId="60082A32" w14:textId="77777777" w:rsidR="00AE3E37" w:rsidRDefault="00AE3E37">
      <w:pPr>
        <w:pStyle w:val="BodyText"/>
        <w:spacing w:before="7"/>
        <w:rPr>
          <w:rFonts w:ascii="Arial"/>
          <w:sz w:val="29"/>
        </w:rPr>
      </w:pPr>
    </w:p>
    <w:p w14:paraId="344798F5" w14:textId="77777777" w:rsidR="00AE3E37" w:rsidRPr="00B21A57" w:rsidRDefault="00A9710C">
      <w:pPr>
        <w:spacing w:before="39"/>
        <w:ind w:left="100"/>
        <w:rPr>
          <w:rFonts w:ascii="Minion Pro"/>
          <w:b/>
          <w:sz w:val="20"/>
        </w:rPr>
      </w:pPr>
      <w:r w:rsidRPr="00B21A57">
        <w:rPr>
          <w:rFonts w:ascii="Minion Pro"/>
          <w:b/>
          <w:sz w:val="20"/>
        </w:rPr>
        <w:t>Notes/Comments:</w:t>
      </w:r>
    </w:p>
    <w:p w14:paraId="39C3ABD9"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2A46A3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A3D7DA" w14:textId="77777777" w:rsidR="0068235E" w:rsidRDefault="0068235E">
      <w:r>
        <w:separator/>
      </w:r>
    </w:p>
  </w:endnote>
  <w:endnote w:type="continuationSeparator" w:id="0">
    <w:p w14:paraId="6DFE850C" w14:textId="77777777" w:rsidR="0068235E" w:rsidRDefault="00682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0D454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131CDD3" wp14:editId="4EB2023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05516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010CCF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31CDD3"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14:paraId="2D055168"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010CCF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E0B439C" wp14:editId="312D6C6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17B59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C9D485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0B439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14:paraId="4417B59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C9D485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6A54047" wp14:editId="7C9FC3D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9258C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763E37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A54047"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14:paraId="469258C2"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763E37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DBBF54" w14:textId="77777777" w:rsidR="0068235E" w:rsidRDefault="0068235E">
      <w:r>
        <w:separator/>
      </w:r>
    </w:p>
  </w:footnote>
  <w:footnote w:type="continuationSeparator" w:id="0">
    <w:p w14:paraId="15B47714" w14:textId="77777777" w:rsidR="0068235E" w:rsidRDefault="006823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D3B66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9CD19D4" wp14:editId="1C64872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2956C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CD19D4"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14:paraId="182956C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7A09770" wp14:editId="46DE821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B9607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DB68B7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A09770"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14:paraId="07B9607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DB68B78"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92984"/>
    <w:rsid w:val="000E2911"/>
    <w:rsid w:val="00104EC9"/>
    <w:rsid w:val="001263DF"/>
    <w:rsid w:val="0019787D"/>
    <w:rsid w:val="001E763C"/>
    <w:rsid w:val="00292ED9"/>
    <w:rsid w:val="00314AFB"/>
    <w:rsid w:val="003B76D9"/>
    <w:rsid w:val="003F1070"/>
    <w:rsid w:val="00404E5B"/>
    <w:rsid w:val="00414F7B"/>
    <w:rsid w:val="004253BF"/>
    <w:rsid w:val="004355DC"/>
    <w:rsid w:val="004749B4"/>
    <w:rsid w:val="00494130"/>
    <w:rsid w:val="004F3523"/>
    <w:rsid w:val="005973B9"/>
    <w:rsid w:val="005B3A56"/>
    <w:rsid w:val="005F027A"/>
    <w:rsid w:val="006060CE"/>
    <w:rsid w:val="0063497F"/>
    <w:rsid w:val="00650570"/>
    <w:rsid w:val="0068235E"/>
    <w:rsid w:val="0078738A"/>
    <w:rsid w:val="00794AFF"/>
    <w:rsid w:val="007B4BC2"/>
    <w:rsid w:val="007C0C7C"/>
    <w:rsid w:val="00873DF0"/>
    <w:rsid w:val="008756E6"/>
    <w:rsid w:val="008D74A1"/>
    <w:rsid w:val="00973A30"/>
    <w:rsid w:val="009B2D44"/>
    <w:rsid w:val="009C5E35"/>
    <w:rsid w:val="009E77E7"/>
    <w:rsid w:val="00A07E82"/>
    <w:rsid w:val="00A9710C"/>
    <w:rsid w:val="00AE3E37"/>
    <w:rsid w:val="00B21A57"/>
    <w:rsid w:val="00B94BE0"/>
    <w:rsid w:val="00BA46A0"/>
    <w:rsid w:val="00C33602"/>
    <w:rsid w:val="00CD6F55"/>
    <w:rsid w:val="00D62425"/>
    <w:rsid w:val="00DE3104"/>
    <w:rsid w:val="00E327EC"/>
    <w:rsid w:val="00F166ED"/>
    <w:rsid w:val="00F72EEA"/>
    <w:rsid w:val="00F8136A"/>
    <w:rsid w:val="00F84CAE"/>
    <w:rsid w:val="00FD613F"/>
    <w:rsid w:val="00FE1F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BB74A9"/>
  <w15:docId w15:val="{6BF2500E-35B0-3E4E-8AE6-772A23F5B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
    <w:name w:val="EndNote Bibliography"/>
    <w:basedOn w:val="Normal"/>
    <w:link w:val="EndNoteBibliographyChar"/>
    <w:rsid w:val="00794AFF"/>
    <w:pPr>
      <w:widowControl/>
    </w:pPr>
    <w:rPr>
      <w:rFonts w:ascii="Arial" w:eastAsia="Times New Roman" w:hAnsi="Arial" w:cs="Arial"/>
      <w:color w:val="000000" w:themeColor="text1"/>
      <w:sz w:val="24"/>
      <w:szCs w:val="20"/>
    </w:rPr>
  </w:style>
  <w:style w:type="character" w:customStyle="1" w:styleId="EndNoteBibliographyChar">
    <w:name w:val="EndNote Bibliography Char"/>
    <w:basedOn w:val="DefaultParagraphFont"/>
    <w:link w:val="EndNoteBibliography"/>
    <w:rsid w:val="00794AFF"/>
    <w:rPr>
      <w:rFonts w:ascii="Arial" w:eastAsia="Times New Roman" w:hAnsi="Arial" w:cs="Arial"/>
      <w:color w:val="000000" w:themeColor="text1"/>
      <w:sz w:val="24"/>
      <w:szCs w:val="20"/>
    </w:rPr>
  </w:style>
  <w:style w:type="character" w:styleId="FollowedHyperlink">
    <w:name w:val="FollowedHyperlink"/>
    <w:basedOn w:val="DefaultParagraphFont"/>
    <w:uiPriority w:val="99"/>
    <w:semiHidden/>
    <w:unhideWhenUsed/>
    <w:rsid w:val="00F166ED"/>
    <w:rPr>
      <w:color w:val="800080" w:themeColor="followedHyperlink"/>
      <w:u w:val="single"/>
    </w:rPr>
  </w:style>
  <w:style w:type="character" w:styleId="UnresolvedMention">
    <w:name w:val="Unresolved Mention"/>
    <w:basedOn w:val="DefaultParagraphFont"/>
    <w:uiPriority w:val="99"/>
    <w:semiHidden/>
    <w:unhideWhenUsed/>
    <w:rsid w:val="00B94B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mknight@spinal-foundatio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1.jp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767</Words>
  <Characters>4376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Martin Knight</cp:lastModifiedBy>
  <cp:revision>5</cp:revision>
  <dcterms:created xsi:type="dcterms:W3CDTF">2019-07-06T15:03:00Z</dcterms:created>
  <dcterms:modified xsi:type="dcterms:W3CDTF">2019-07-07T12:00:00Z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