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A5F5C61" w14:textId="2655804D" w:rsidR="00AE3E37" w:rsidRDefault="00BA46A0" w:rsidP="00494130">
      <w:pPr>
        <w:pStyle w:val="Heading1"/>
        <w:spacing w:before="170"/>
        <w:ind w:left="0"/>
      </w:pPr>
      <w:proofErr w:type="spellStart"/>
      <w:r>
        <w:rPr>
          <w:color w:val="337AB7"/>
        </w:rPr>
        <w:t>Cluneal</w:t>
      </w:r>
      <w:proofErr w:type="spellEnd"/>
      <w:r>
        <w:rPr>
          <w:color w:val="337AB7"/>
        </w:rPr>
        <w:t xml:space="preserve"> Nerve Trigger Point Entrapment Syndrome and </w:t>
      </w:r>
      <w:proofErr w:type="spellStart"/>
      <w:r>
        <w:rPr>
          <w:color w:val="337AB7"/>
        </w:rPr>
        <w:t>Radiiofrequency</w:t>
      </w:r>
      <w:proofErr w:type="spellEnd"/>
      <w:r>
        <w:rPr>
          <w:color w:val="337AB7"/>
        </w:rPr>
        <w:t xml:space="preserve"> Treatment</w:t>
      </w:r>
    </w:p>
    <w:p w14:paraId="5767A7AA" w14:textId="6C61EE49" w:rsidR="0078738A" w:rsidRDefault="00BA46A0" w:rsidP="00BA46A0">
      <w:pPr>
        <w:pStyle w:val="BodyText"/>
        <w:spacing w:before="73" w:line="198" w:lineRule="exact"/>
        <w:ind w:right="5987"/>
        <w:rPr>
          <w:rFonts w:ascii="Arial"/>
        </w:rPr>
      </w:pPr>
      <w:proofErr w:type="spellStart"/>
      <w:r>
        <w:rPr>
          <w:rFonts w:ascii="Arial"/>
        </w:rPr>
        <w:t>Mr</w:t>
      </w:r>
      <w:proofErr w:type="spellEnd"/>
      <w:r>
        <w:rPr>
          <w:rFonts w:ascii="Arial"/>
        </w:rPr>
        <w:t xml:space="preserve"> Martin Knight MD FRCS MBBS, UK</w:t>
      </w:r>
      <w:r w:rsidR="005973B9">
        <w:rPr>
          <w:rFonts w:ascii="Arial"/>
        </w:rPr>
        <w:t xml:space="preserve"> </w:t>
      </w:r>
    </w:p>
    <w:p w14:paraId="2279E9D2" w14:textId="75E26795" w:rsidR="00BA46A0" w:rsidRDefault="00BA46A0" w:rsidP="00BA46A0">
      <w:pPr>
        <w:rPr>
          <w:rFonts w:cs="Arial"/>
        </w:rPr>
      </w:pPr>
      <w:r w:rsidRPr="007F183C">
        <w:rPr>
          <w:rFonts w:cs="Arial"/>
        </w:rPr>
        <w:t xml:space="preserve">Dr </w:t>
      </w:r>
      <w:proofErr w:type="spellStart"/>
      <w:r w:rsidRPr="007F183C">
        <w:rPr>
          <w:rFonts w:cs="Arial"/>
        </w:rPr>
        <w:t>Indu</w:t>
      </w:r>
      <w:proofErr w:type="spellEnd"/>
      <w:r w:rsidRPr="007F183C">
        <w:rPr>
          <w:rFonts w:cs="Arial"/>
        </w:rPr>
        <w:t xml:space="preserve"> </w:t>
      </w:r>
      <w:proofErr w:type="spellStart"/>
      <w:r w:rsidRPr="007F183C">
        <w:rPr>
          <w:rFonts w:cs="Arial"/>
        </w:rPr>
        <w:t>Karangoda</w:t>
      </w:r>
      <w:proofErr w:type="spellEnd"/>
      <w:r w:rsidRPr="007F183C">
        <w:rPr>
          <w:rFonts w:cs="Arial"/>
        </w:rPr>
        <w:t xml:space="preserve"> MBBS, FRCA, FFICM, EDIC</w:t>
      </w:r>
      <w:r>
        <w:rPr>
          <w:rFonts w:cs="Arial"/>
        </w:rPr>
        <w:t>, UK</w:t>
      </w:r>
    </w:p>
    <w:p w14:paraId="51B02D63" w14:textId="3F22C52E" w:rsidR="00BA46A0" w:rsidRDefault="00BA46A0" w:rsidP="00BA46A0">
      <w:pPr>
        <w:rPr>
          <w:rFonts w:cs="Arial"/>
          <w:color w:val="000000"/>
          <w:szCs w:val="24"/>
        </w:rPr>
      </w:pPr>
      <w:r w:rsidRPr="007F183C">
        <w:rPr>
          <w:rFonts w:cs="Arial"/>
          <w:color w:val="000000"/>
          <w:szCs w:val="24"/>
        </w:rPr>
        <w:t>Dr Rahim Nadeem Ahmed M.B.B.S, FCARCSI, FRCA, FFICM</w:t>
      </w:r>
      <w:r>
        <w:rPr>
          <w:rFonts w:cs="Arial"/>
          <w:color w:val="000000"/>
          <w:szCs w:val="24"/>
        </w:rPr>
        <w:t>, UK</w:t>
      </w:r>
    </w:p>
    <w:p w14:paraId="19905C62" w14:textId="09ACADCD" w:rsidR="00BA46A0" w:rsidRDefault="00BA46A0" w:rsidP="00BA46A0">
      <w:r>
        <w:t xml:space="preserve">Dr </w:t>
      </w:r>
      <w:r>
        <w:t xml:space="preserve">James </w:t>
      </w:r>
      <w:proofErr w:type="spellStart"/>
      <w:r>
        <w:t>Inklebarger</w:t>
      </w:r>
      <w:proofErr w:type="spellEnd"/>
      <w:r>
        <w:t xml:space="preserve"> MD</w:t>
      </w:r>
      <w:r>
        <w:t>, UK</w:t>
      </w:r>
    </w:p>
    <w:p w14:paraId="40944FE3" w14:textId="7A7FE4BC" w:rsidR="00BA46A0" w:rsidRDefault="00BA46A0" w:rsidP="00BA46A0">
      <w:r w:rsidRPr="007F183C">
        <w:rPr>
          <w:rFonts w:cs="Arial"/>
          <w:color w:val="333333"/>
          <w:szCs w:val="24"/>
          <w:shd w:val="clear" w:color="auto" w:fill="FFFFFF"/>
        </w:rPr>
        <w:t xml:space="preserve">Thomas D’Angelo </w:t>
      </w:r>
      <w:proofErr w:type="gramStart"/>
      <w:r w:rsidRPr="007F183C">
        <w:rPr>
          <w:rFonts w:cs="Arial"/>
          <w:color w:val="333333"/>
          <w:szCs w:val="24"/>
          <w:shd w:val="clear" w:color="auto" w:fill="FFFFFF"/>
        </w:rPr>
        <w:t>BSc(</w:t>
      </w:r>
      <w:proofErr w:type="gramEnd"/>
      <w:r w:rsidRPr="007F183C">
        <w:rPr>
          <w:rFonts w:cs="Arial"/>
          <w:color w:val="333333"/>
          <w:szCs w:val="24"/>
          <w:shd w:val="clear" w:color="auto" w:fill="FFFFFF"/>
        </w:rPr>
        <w:t>Hons)</w:t>
      </w:r>
      <w:r>
        <w:rPr>
          <w:rFonts w:cs="Arial"/>
          <w:color w:val="333333"/>
          <w:szCs w:val="24"/>
          <w:shd w:val="clear" w:color="auto" w:fill="FFFFFF"/>
        </w:rPr>
        <w:t>, UK</w:t>
      </w:r>
    </w:p>
    <w:p w14:paraId="6E6AE5EF" w14:textId="77777777"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14:paraId="1603E1CF" w14:textId="77777777" w:rsidR="00AE3E37" w:rsidRDefault="00A9710C">
      <w:pPr>
        <w:pStyle w:val="Heading3"/>
        <w:spacing w:before="147"/>
        <w:jc w:val="both"/>
      </w:pPr>
      <w:r>
        <w:rPr>
          <w:color w:val="BF5A14"/>
        </w:rPr>
        <w:t>Abstract</w:t>
      </w:r>
      <w:r w:rsidR="00404E5B">
        <w:rPr>
          <w:color w:val="BF5A14"/>
        </w:rPr>
        <w:t xml:space="preserve"> (</w:t>
      </w:r>
      <w:proofErr w:type="gramStart"/>
      <w:r w:rsidR="00404E5B">
        <w:rPr>
          <w:color w:val="BF5A14"/>
        </w:rPr>
        <w:t>300 word</w:t>
      </w:r>
      <w:proofErr w:type="gramEnd"/>
      <w:r w:rsidR="00404E5B">
        <w:rPr>
          <w:color w:val="BF5A14"/>
        </w:rPr>
        <w:t xml:space="preserve"> limit)</w:t>
      </w:r>
    </w:p>
    <w:p w14:paraId="4A99C9D9" w14:textId="3AEE87A0" w:rsidR="009C5E35" w:rsidRPr="00794AFF" w:rsidRDefault="00A9710C" w:rsidP="00794AFF">
      <w:pPr>
        <w:pStyle w:val="BodyText"/>
        <w:spacing w:before="90" w:line="280" w:lineRule="auto"/>
        <w:ind w:left="100"/>
        <w:jc w:val="both"/>
      </w:pPr>
      <w:r w:rsidRPr="00BA46A0">
        <w:rPr>
          <w:b/>
          <w:bCs/>
        </w:rPr>
        <w:t>Statement of the Problem</w:t>
      </w:r>
      <w:r>
        <w:t xml:space="preserve">: </w:t>
      </w:r>
      <w:proofErr w:type="spellStart"/>
      <w:r w:rsidR="00BA46A0">
        <w:t>Cluneal</w:t>
      </w:r>
      <w:proofErr w:type="spellEnd"/>
      <w:r w:rsidR="00BA46A0">
        <w:t xml:space="preserve"> nerve trigger point irritation (CNTP</w:t>
      </w:r>
      <w:r w:rsidR="00650570">
        <w:t xml:space="preserve">I) </w:t>
      </w:r>
      <w:r w:rsidR="00BA46A0">
        <w:t xml:space="preserve">symptomatology and </w:t>
      </w:r>
      <w:proofErr w:type="spellStart"/>
      <w:r w:rsidR="00BA46A0">
        <w:t>aetiology</w:t>
      </w:r>
      <w:proofErr w:type="spellEnd"/>
      <w:r w:rsidR="00BA46A0">
        <w:t xml:space="preserve"> are poorly recognized and too often treated with open surgery where conservative measures fail. </w:t>
      </w:r>
      <w:r>
        <w:t>The purpose of this study is to</w:t>
      </w:r>
      <w:r w:rsidR="00404E5B">
        <w:t xml:space="preserve"> </w:t>
      </w:r>
      <w:r>
        <w:t xml:space="preserve">describe the </w:t>
      </w:r>
      <w:r w:rsidR="00650570">
        <w:t>distribution of symptoms</w:t>
      </w:r>
      <w:r w:rsidR="00104EC9">
        <w:t xml:space="preserve"> shown in Figure 1,</w:t>
      </w:r>
      <w:r w:rsidR="00650570">
        <w:t xml:space="preserve"> which can mimic sciatica and to present a diagnostic and treatment pathway and outcomes thereto. </w:t>
      </w:r>
      <w:r w:rsidRPr="00650570">
        <w:rPr>
          <w:b/>
          <w:bCs/>
        </w:rPr>
        <w:t>Methodolog</w:t>
      </w:r>
      <w:r w:rsidR="0078738A" w:rsidRPr="00650570">
        <w:rPr>
          <w:b/>
          <w:bCs/>
        </w:rPr>
        <w:t>y &amp; Theoretical Orientation:</w:t>
      </w:r>
      <w:r w:rsidR="0078738A">
        <w:t xml:space="preserve"> A</w:t>
      </w:r>
      <w:r w:rsidR="00650570">
        <w:t xml:space="preserve"> prospective study of the treatment outcomes based upon the proposed diagnostic protocol deployed in 33 consecutive patients with CNTPI was independently </w:t>
      </w:r>
      <w:proofErr w:type="spellStart"/>
      <w:r w:rsidR="00650570">
        <w:t>analysed</w:t>
      </w:r>
      <w:proofErr w:type="spellEnd"/>
      <w:r w:rsidR="00650570">
        <w:t xml:space="preserve"> 2 – 5 years following treatment</w:t>
      </w:r>
      <w:r w:rsidR="00104EC9">
        <w:t xml:space="preserve"> shown in Figure 2</w:t>
      </w:r>
      <w:r w:rsidR="00650570">
        <w:t>.</w:t>
      </w:r>
      <w:r>
        <w:t xml:space="preserve"> </w:t>
      </w:r>
      <w:r w:rsidRPr="00650570">
        <w:rPr>
          <w:b/>
          <w:bCs/>
        </w:rPr>
        <w:t>Conclusion &amp; Significance:</w:t>
      </w:r>
      <w:r>
        <w:t xml:space="preserve"> </w:t>
      </w:r>
      <w:r w:rsidR="00104EC9">
        <w:t xml:space="preserve">The diagnostic pathway differentiates the pain from CNTPI from spinal disorders, facet joint or </w:t>
      </w:r>
      <w:proofErr w:type="spellStart"/>
      <w:r w:rsidR="00104EC9">
        <w:t>sacro</w:t>
      </w:r>
      <w:proofErr w:type="spellEnd"/>
      <w:r w:rsidR="00104EC9">
        <w:t>-iliac joint pain and provides a promising treatment alternative to that of open surgery. The proposed treatment is based upon correction of pelvic attitude and radiofrequency ablation of the “trigger points”</w:t>
      </w:r>
      <w:r w:rsidR="00FE1F7D">
        <w:t xml:space="preserve"> and offers encouraging outcomes</w:t>
      </w:r>
    </w:p>
    <w:p w14:paraId="006F5242" w14:textId="6A6D5ABE" w:rsidR="00AE3E37" w:rsidRDefault="00A9710C" w:rsidP="00104EC9">
      <w:pPr>
        <w:pStyle w:val="Heading3"/>
        <w:spacing w:before="74"/>
        <w:ind w:left="0"/>
      </w:pPr>
      <w:r>
        <w:rPr>
          <w:color w:val="BF5A14"/>
        </w:rPr>
        <w:t>Image</w:t>
      </w:r>
    </w:p>
    <w:p w14:paraId="0D6087E4" w14:textId="1C46DFBC" w:rsidR="003F1070" w:rsidRDefault="003F1070" w:rsidP="003F1070">
      <w:pPr>
        <w:pStyle w:val="BodyText"/>
        <w:spacing w:before="2"/>
        <w:rPr>
          <w:rFonts w:ascii="Arial"/>
          <w:b/>
          <w:sz w:val="16"/>
        </w:rPr>
      </w:pPr>
      <w:r>
        <w:rPr>
          <w:rFonts w:ascii="Arial"/>
          <w:b/>
          <w:noProof/>
          <w:sz w:val="16"/>
        </w:rPr>
        <w:drawing>
          <wp:inline distT="0" distB="0" distL="0" distR="0" wp14:anchorId="6D7B552B" wp14:editId="7F293540">
            <wp:extent cx="3207481" cy="1712068"/>
            <wp:effectExtent l="0" t="0" r="5715" b="2540"/>
            <wp:docPr id="2" name="Picture 2" descr="Cluneal Nerve Symptom Distribu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luneal Nerve 3 legs pain Cluneal distribution copy.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3315989" cy="1769987"/>
                    </a:xfrm>
                    <a:prstGeom prst="rect">
                      <a:avLst/>
                    </a:prstGeom>
                  </pic:spPr>
                </pic:pic>
              </a:graphicData>
            </a:graphic>
          </wp:inline>
        </w:drawing>
      </w:r>
    </w:p>
    <w:p w14:paraId="7B441FC1" w14:textId="6AECDF7E" w:rsidR="003F1070" w:rsidRPr="003F1070" w:rsidRDefault="003F1070" w:rsidP="003F1070">
      <w:pPr>
        <w:pStyle w:val="BodyText"/>
        <w:spacing w:before="2"/>
        <w:rPr>
          <w:rFonts w:ascii="Arial"/>
          <w:b/>
          <w:sz w:val="16"/>
        </w:rPr>
      </w:pPr>
      <w:r>
        <w:rPr>
          <w:rFonts w:ascii="Arial"/>
          <w:b/>
          <w:sz w:val="16"/>
        </w:rPr>
        <w:t xml:space="preserve">Figure 1 </w:t>
      </w:r>
      <w:r>
        <w:rPr>
          <w:rFonts w:ascii="Arial"/>
          <w:bCs/>
          <w:sz w:val="16"/>
        </w:rPr>
        <w:t>CNTPI Symptom distribution</w:t>
      </w:r>
    </w:p>
    <w:p w14:paraId="4BDD6B0C" w14:textId="6D9717BF" w:rsidR="003F1070" w:rsidRDefault="003F1070">
      <w:pPr>
        <w:pStyle w:val="BodyText"/>
        <w:spacing w:before="2"/>
        <w:rPr>
          <w:rFonts w:ascii="Arial"/>
          <w:bCs/>
          <w:sz w:val="16"/>
        </w:rPr>
      </w:pPr>
    </w:p>
    <w:p w14:paraId="5876DC77" w14:textId="409938A2" w:rsidR="009C5E35" w:rsidRDefault="00FE1F7D">
      <w:pPr>
        <w:pStyle w:val="BodyText"/>
        <w:spacing w:before="2"/>
        <w:rPr>
          <w:rFonts w:ascii="Arial"/>
          <w:bCs/>
          <w:sz w:val="16"/>
        </w:rPr>
      </w:pPr>
      <w:r>
        <w:rPr>
          <w:rFonts w:ascii="Arial"/>
          <w:bCs/>
          <w:noProof/>
          <w:sz w:val="16"/>
        </w:rPr>
        <w:drawing>
          <wp:inline distT="0" distB="0" distL="0" distR="0" wp14:anchorId="511E7BE9" wp14:editId="28A655B4">
            <wp:extent cx="3165475" cy="1780540"/>
            <wp:effectExtent l="0" t="0" r="0" b="0"/>
            <wp:docPr id="3" name="Picture 3" descr="Cluneal Nerve Trigger Point Treatment Outcom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Cluneal Demographics Outcomes Summary.jpg"/>
                    <pic:cNvPicPr/>
                  </pic:nvPicPr>
                  <pic:blipFill>
                    <a:blip r:embed="rId10">
                      <a:extLst>
                        <a:ext uri="{28A0092B-C50C-407E-A947-70E740481C1C}">
                          <a14:useLocalDpi xmlns:a14="http://schemas.microsoft.com/office/drawing/2010/main" val="0"/>
                        </a:ext>
                      </a:extLst>
                    </a:blip>
                    <a:stretch>
                      <a:fillRect/>
                    </a:stretch>
                  </pic:blipFill>
                  <pic:spPr>
                    <a:xfrm>
                      <a:off x="0" y="0"/>
                      <a:ext cx="3165475" cy="1780540"/>
                    </a:xfrm>
                    <a:prstGeom prst="rect">
                      <a:avLst/>
                    </a:prstGeom>
                  </pic:spPr>
                </pic:pic>
              </a:graphicData>
            </a:graphic>
          </wp:inline>
        </w:drawing>
      </w:r>
    </w:p>
    <w:p w14:paraId="615A6041" w14:textId="632B90ED" w:rsidR="009C5E35" w:rsidRDefault="009C5E35">
      <w:pPr>
        <w:pStyle w:val="BodyText"/>
        <w:spacing w:before="2"/>
        <w:rPr>
          <w:rFonts w:ascii="Arial"/>
          <w:bCs/>
          <w:sz w:val="16"/>
        </w:rPr>
      </w:pPr>
    </w:p>
    <w:p w14:paraId="23369DC8" w14:textId="23A8ADAC" w:rsidR="009C5E35" w:rsidRPr="003F1070" w:rsidRDefault="009C5E35" w:rsidP="009C5E35">
      <w:pPr>
        <w:pStyle w:val="BodyText"/>
        <w:spacing w:before="2"/>
        <w:rPr>
          <w:rFonts w:ascii="Arial"/>
          <w:b/>
          <w:sz w:val="16"/>
        </w:rPr>
      </w:pPr>
      <w:r>
        <w:rPr>
          <w:rFonts w:ascii="Arial"/>
          <w:b/>
          <w:sz w:val="16"/>
        </w:rPr>
        <w:t xml:space="preserve">Figure </w:t>
      </w:r>
      <w:r>
        <w:rPr>
          <w:rFonts w:ascii="Arial"/>
          <w:b/>
          <w:sz w:val="16"/>
        </w:rPr>
        <w:t>2</w:t>
      </w:r>
      <w:r>
        <w:rPr>
          <w:rFonts w:ascii="Arial"/>
          <w:b/>
          <w:sz w:val="16"/>
        </w:rPr>
        <w:t xml:space="preserve"> </w:t>
      </w:r>
      <w:r>
        <w:rPr>
          <w:rFonts w:ascii="Arial"/>
          <w:bCs/>
          <w:sz w:val="16"/>
        </w:rPr>
        <w:t>C</w:t>
      </w:r>
      <w:r>
        <w:rPr>
          <w:rFonts w:ascii="Arial"/>
          <w:bCs/>
          <w:sz w:val="16"/>
        </w:rPr>
        <w:t>linical Demographics &amp; Outcomes</w:t>
      </w:r>
    </w:p>
    <w:p w14:paraId="03ED56F4" w14:textId="18BA2678" w:rsidR="005973B9" w:rsidRDefault="005973B9" w:rsidP="005973B9">
      <w:pPr>
        <w:spacing w:line="204" w:lineRule="exact"/>
        <w:rPr>
          <w:rFonts w:ascii="Arial"/>
          <w:b/>
          <w:sz w:val="20"/>
        </w:rPr>
      </w:pPr>
      <w:r>
        <w:rPr>
          <w:rFonts w:ascii="Arial"/>
          <w:b/>
          <w:color w:val="BF5A14"/>
          <w:sz w:val="20"/>
        </w:rPr>
        <w:br/>
        <w:t>Recent Publications (minimum 5)</w:t>
      </w:r>
    </w:p>
    <w:p w14:paraId="7315C6D2" w14:textId="77777777" w:rsidR="00794AFF" w:rsidRPr="00794AFF" w:rsidRDefault="00794AFF" w:rsidP="00794AFF">
      <w:pPr>
        <w:pStyle w:val="EndNoteBibliography"/>
        <w:ind w:left="720" w:hanging="720"/>
        <w:rPr>
          <w:rFonts w:ascii="Calibri" w:hAnsi="Calibri" w:cs="Calibri"/>
          <w:noProof/>
          <w:sz w:val="18"/>
          <w:szCs w:val="18"/>
        </w:rPr>
      </w:pPr>
      <w:r w:rsidRPr="00794AFF">
        <w:rPr>
          <w:rFonts w:ascii="Calibri" w:hAnsi="Calibri" w:cs="Calibri"/>
          <w:sz w:val="18"/>
          <w:szCs w:val="18"/>
          <w:lang w:val="en-GB"/>
        </w:rPr>
        <w:fldChar w:fldCharType="begin"/>
      </w:r>
      <w:r w:rsidRPr="00794AFF">
        <w:rPr>
          <w:rFonts w:ascii="Calibri" w:hAnsi="Calibri" w:cs="Calibri"/>
          <w:sz w:val="18"/>
          <w:szCs w:val="18"/>
          <w:lang w:val="en-GB"/>
        </w:rPr>
        <w:instrText xml:space="preserve"> ADDIN EN.REFLIST </w:instrText>
      </w:r>
      <w:r w:rsidRPr="00794AFF">
        <w:rPr>
          <w:rFonts w:ascii="Calibri" w:hAnsi="Calibri" w:cs="Calibri"/>
          <w:sz w:val="18"/>
          <w:szCs w:val="18"/>
          <w:lang w:val="en-GB"/>
        </w:rPr>
        <w:fldChar w:fldCharType="separate"/>
      </w:r>
    </w:p>
    <w:p w14:paraId="25794C6B" w14:textId="77777777" w:rsidR="00794AFF" w:rsidRPr="00794AFF" w:rsidRDefault="00794AFF" w:rsidP="00794AFF">
      <w:pPr>
        <w:pStyle w:val="EndNoteBibliography"/>
        <w:ind w:left="720" w:hanging="720"/>
        <w:rPr>
          <w:rFonts w:ascii="Calibri" w:hAnsi="Calibri" w:cs="Calibri"/>
          <w:noProof/>
          <w:sz w:val="18"/>
          <w:szCs w:val="18"/>
        </w:rPr>
      </w:pPr>
      <w:r w:rsidRPr="00794AFF">
        <w:rPr>
          <w:rFonts w:ascii="Calibri" w:hAnsi="Calibri" w:cs="Calibri"/>
          <w:noProof/>
          <w:sz w:val="18"/>
          <w:szCs w:val="18"/>
        </w:rPr>
        <w:t xml:space="preserve">1. Lu J, Ebraheim NA, Huntoon M, et al. Anatomic considerations of superior cluneal nerve at posterior iliac crest region. </w:t>
      </w:r>
      <w:r w:rsidRPr="00794AFF">
        <w:rPr>
          <w:rFonts w:ascii="Calibri" w:hAnsi="Calibri" w:cs="Calibri"/>
          <w:i/>
          <w:noProof/>
          <w:sz w:val="18"/>
          <w:szCs w:val="18"/>
        </w:rPr>
        <w:t>Clin Orthop Relat Res</w:t>
      </w:r>
      <w:r w:rsidRPr="00794AFF">
        <w:rPr>
          <w:rFonts w:ascii="Calibri" w:hAnsi="Calibri" w:cs="Calibri"/>
          <w:noProof/>
          <w:sz w:val="18"/>
          <w:szCs w:val="18"/>
        </w:rPr>
        <w:t xml:space="preserve"> 1998(347):224-8. [published Online First: 1998/04/01]</w:t>
      </w:r>
    </w:p>
    <w:p w14:paraId="39756E87" w14:textId="77777777" w:rsidR="00794AFF" w:rsidRPr="00794AFF" w:rsidRDefault="00794AFF" w:rsidP="00794AFF">
      <w:pPr>
        <w:pStyle w:val="EndNoteBibliography"/>
        <w:rPr>
          <w:rFonts w:ascii="Calibri" w:hAnsi="Calibri" w:cs="Calibri"/>
          <w:noProof/>
          <w:sz w:val="18"/>
          <w:szCs w:val="18"/>
        </w:rPr>
      </w:pPr>
    </w:p>
    <w:p w14:paraId="691DF9B9" w14:textId="77777777" w:rsidR="00794AFF" w:rsidRPr="00794AFF" w:rsidRDefault="00794AFF" w:rsidP="00794AFF">
      <w:pPr>
        <w:pStyle w:val="EndNoteBibliography"/>
        <w:ind w:left="720" w:hanging="720"/>
        <w:rPr>
          <w:rFonts w:ascii="Calibri" w:hAnsi="Calibri" w:cs="Calibri"/>
          <w:noProof/>
          <w:sz w:val="18"/>
          <w:szCs w:val="18"/>
        </w:rPr>
      </w:pPr>
      <w:r w:rsidRPr="00794AFF">
        <w:rPr>
          <w:rFonts w:ascii="Calibri" w:hAnsi="Calibri" w:cs="Calibri"/>
          <w:noProof/>
          <w:sz w:val="18"/>
          <w:szCs w:val="18"/>
        </w:rPr>
        <w:t xml:space="preserve">2. Isu T, Kim K, Morimoto D, et al. Superior and Middle Cluneal Nerve Entrapment as a Cause of Low Back Pain. </w:t>
      </w:r>
      <w:r w:rsidRPr="00794AFF">
        <w:rPr>
          <w:rFonts w:ascii="Calibri" w:hAnsi="Calibri" w:cs="Calibri"/>
          <w:i/>
          <w:noProof/>
          <w:sz w:val="18"/>
          <w:szCs w:val="18"/>
        </w:rPr>
        <w:t>Neurospine</w:t>
      </w:r>
      <w:r w:rsidRPr="00794AFF">
        <w:rPr>
          <w:rFonts w:ascii="Calibri" w:hAnsi="Calibri" w:cs="Calibri"/>
          <w:noProof/>
          <w:sz w:val="18"/>
          <w:szCs w:val="18"/>
        </w:rPr>
        <w:t xml:space="preserve"> 2018;15(1):25-32. doi: 10.14245/ns.1836024.012 [published Online First: 2018/04/16]</w:t>
      </w:r>
    </w:p>
    <w:p w14:paraId="3E020F64" w14:textId="77777777" w:rsidR="00794AFF" w:rsidRPr="00794AFF" w:rsidRDefault="00794AFF" w:rsidP="00794AFF">
      <w:pPr>
        <w:pStyle w:val="EndNoteBibliography"/>
        <w:ind w:left="720" w:hanging="720"/>
        <w:rPr>
          <w:rFonts w:ascii="Calibri" w:hAnsi="Calibri" w:cs="Calibri"/>
          <w:noProof/>
          <w:sz w:val="18"/>
          <w:szCs w:val="18"/>
        </w:rPr>
      </w:pPr>
    </w:p>
    <w:p w14:paraId="7015395B" w14:textId="77777777" w:rsidR="00794AFF" w:rsidRPr="00794AFF" w:rsidRDefault="00794AFF" w:rsidP="00794AFF">
      <w:pPr>
        <w:pStyle w:val="EndNoteBibliography"/>
        <w:ind w:left="720" w:hanging="720"/>
        <w:rPr>
          <w:rFonts w:ascii="Calibri" w:hAnsi="Calibri" w:cs="Calibri"/>
          <w:noProof/>
          <w:sz w:val="18"/>
          <w:szCs w:val="18"/>
        </w:rPr>
      </w:pPr>
      <w:r w:rsidRPr="00794AFF">
        <w:rPr>
          <w:rFonts w:ascii="Calibri" w:hAnsi="Calibri" w:cs="Calibri"/>
          <w:noProof/>
          <w:sz w:val="18"/>
          <w:szCs w:val="18"/>
        </w:rPr>
        <w:t xml:space="preserve">3. Tubbs RS LM, Loukas M, Potts EA, Cohen-Gadol AA. Anatomy and landmarks for the superior and middle cluneal nerves: application to posterior iliac crest harvest and entrapment syndromes. </w:t>
      </w:r>
      <w:r w:rsidRPr="00794AFF">
        <w:rPr>
          <w:rFonts w:ascii="Calibri" w:hAnsi="Calibri" w:cs="Calibri"/>
          <w:i/>
          <w:noProof/>
          <w:sz w:val="18"/>
          <w:szCs w:val="18"/>
        </w:rPr>
        <w:t>J Neurosurg Spine</w:t>
      </w:r>
      <w:r w:rsidRPr="00794AFF">
        <w:rPr>
          <w:rFonts w:ascii="Calibri" w:hAnsi="Calibri" w:cs="Calibri"/>
          <w:noProof/>
          <w:sz w:val="18"/>
          <w:szCs w:val="18"/>
        </w:rPr>
        <w:t xml:space="preserve"> 2010;13:356–59.</w:t>
      </w:r>
    </w:p>
    <w:p w14:paraId="79464394" w14:textId="77777777" w:rsidR="00794AFF" w:rsidRPr="00794AFF" w:rsidRDefault="00794AFF" w:rsidP="00794AFF">
      <w:pPr>
        <w:pStyle w:val="EndNoteBibliography"/>
        <w:ind w:left="720" w:hanging="720"/>
        <w:rPr>
          <w:rFonts w:ascii="Calibri" w:hAnsi="Calibri" w:cs="Calibri"/>
          <w:noProof/>
          <w:sz w:val="18"/>
          <w:szCs w:val="18"/>
        </w:rPr>
      </w:pPr>
    </w:p>
    <w:p w14:paraId="179B77C9" w14:textId="77777777" w:rsidR="00794AFF" w:rsidRPr="00794AFF" w:rsidRDefault="00794AFF" w:rsidP="00794AFF">
      <w:pPr>
        <w:pStyle w:val="EndNoteBibliography"/>
        <w:ind w:left="720" w:hanging="720"/>
        <w:rPr>
          <w:rFonts w:ascii="Calibri" w:hAnsi="Calibri" w:cs="Calibri"/>
          <w:noProof/>
          <w:sz w:val="18"/>
          <w:szCs w:val="18"/>
        </w:rPr>
      </w:pPr>
      <w:r w:rsidRPr="00794AFF">
        <w:rPr>
          <w:rFonts w:ascii="Calibri" w:hAnsi="Calibri" w:cs="Calibri"/>
          <w:noProof/>
          <w:sz w:val="18"/>
          <w:szCs w:val="18"/>
        </w:rPr>
        <w:t xml:space="preserve">4. Knight MT, Jago I, Norris C, et al. Transforaminal endoscopic lumbar decompression &amp; foraminoplasty: a 10 year prospective survivability outcome study of the treatment of foraminal stenosis and failed back surgery. </w:t>
      </w:r>
      <w:r w:rsidRPr="00794AFF">
        <w:rPr>
          <w:rFonts w:ascii="Calibri" w:hAnsi="Calibri" w:cs="Calibri"/>
          <w:i/>
          <w:noProof/>
          <w:sz w:val="18"/>
          <w:szCs w:val="18"/>
        </w:rPr>
        <w:t>Int J Spine Surg</w:t>
      </w:r>
      <w:r w:rsidRPr="00794AFF">
        <w:rPr>
          <w:rFonts w:ascii="Calibri" w:hAnsi="Calibri" w:cs="Calibri"/>
          <w:noProof/>
          <w:sz w:val="18"/>
          <w:szCs w:val="18"/>
        </w:rPr>
        <w:t xml:space="preserve"> 2014;8 doi: 10.14444/1021</w:t>
      </w:r>
    </w:p>
    <w:p w14:paraId="424F069A" w14:textId="77777777" w:rsidR="00794AFF" w:rsidRPr="00794AFF" w:rsidRDefault="00794AFF" w:rsidP="00794AFF">
      <w:pPr>
        <w:pStyle w:val="EndNoteBibliography"/>
        <w:ind w:left="720" w:hanging="720"/>
        <w:rPr>
          <w:rFonts w:ascii="Calibri" w:hAnsi="Calibri" w:cs="Calibri"/>
          <w:noProof/>
          <w:sz w:val="18"/>
          <w:szCs w:val="18"/>
        </w:rPr>
      </w:pPr>
    </w:p>
    <w:p w14:paraId="6CBD1EB4" w14:textId="77777777" w:rsidR="00794AFF" w:rsidRPr="00794AFF" w:rsidRDefault="00794AFF" w:rsidP="00794AFF">
      <w:pPr>
        <w:pStyle w:val="EndNoteBibliography"/>
        <w:ind w:left="720" w:hanging="720"/>
        <w:rPr>
          <w:rFonts w:ascii="Calibri" w:hAnsi="Calibri" w:cs="Calibri"/>
          <w:noProof/>
          <w:sz w:val="18"/>
          <w:szCs w:val="18"/>
        </w:rPr>
      </w:pPr>
      <w:r w:rsidRPr="00794AFF">
        <w:rPr>
          <w:rFonts w:ascii="Calibri" w:hAnsi="Calibri" w:cs="Calibri"/>
          <w:noProof/>
          <w:sz w:val="18"/>
          <w:szCs w:val="18"/>
        </w:rPr>
        <w:t>5. Knight MTN, Krishnan A. Spinal Surgery. In: Whitwam JG, McLoy RF, eds. Principles and Practice of Sedation. Oxford: Blackwell Science, 1998:178-81.</w:t>
      </w:r>
    </w:p>
    <w:p w14:paraId="2E4FDAA6" w14:textId="77777777" w:rsidR="00794AFF" w:rsidRPr="00794AFF" w:rsidRDefault="00794AFF" w:rsidP="00794AFF">
      <w:pPr>
        <w:pStyle w:val="EndNoteBibliography"/>
        <w:ind w:left="720" w:hanging="720"/>
        <w:rPr>
          <w:rFonts w:ascii="Calibri" w:hAnsi="Calibri" w:cs="Calibri"/>
          <w:noProof/>
          <w:sz w:val="18"/>
          <w:szCs w:val="18"/>
        </w:rPr>
      </w:pPr>
    </w:p>
    <w:p w14:paraId="4883E480" w14:textId="77777777" w:rsidR="00794AFF" w:rsidRPr="00794AFF" w:rsidRDefault="00794AFF" w:rsidP="00794AFF">
      <w:pPr>
        <w:pStyle w:val="EndNoteBibliography"/>
        <w:ind w:left="720" w:hanging="720"/>
        <w:rPr>
          <w:rFonts w:ascii="Calibri" w:hAnsi="Calibri" w:cs="Calibri"/>
          <w:noProof/>
          <w:sz w:val="18"/>
          <w:szCs w:val="18"/>
        </w:rPr>
      </w:pPr>
      <w:r w:rsidRPr="00794AFF">
        <w:rPr>
          <w:rFonts w:ascii="Calibri" w:hAnsi="Calibri" w:cs="Calibri"/>
          <w:noProof/>
          <w:sz w:val="18"/>
          <w:szCs w:val="18"/>
        </w:rPr>
        <w:t xml:space="preserve">6. Inklebarger J GN. The Management of Cluneal Nerve Referred Pain with Prolotherapy. </w:t>
      </w:r>
      <w:r w:rsidRPr="00794AFF">
        <w:rPr>
          <w:rFonts w:ascii="Calibri" w:hAnsi="Calibri" w:cs="Calibri"/>
          <w:i/>
          <w:noProof/>
          <w:sz w:val="18"/>
          <w:szCs w:val="18"/>
        </w:rPr>
        <w:t>J Prolotherapy</w:t>
      </w:r>
      <w:r w:rsidRPr="00794AFF">
        <w:rPr>
          <w:rFonts w:ascii="Calibri" w:hAnsi="Calibri" w:cs="Calibri"/>
          <w:noProof/>
          <w:sz w:val="18"/>
          <w:szCs w:val="18"/>
        </w:rPr>
        <w:t xml:space="preserve"> 2018;10:982-91.</w:t>
      </w:r>
    </w:p>
    <w:p w14:paraId="06E1E64F" w14:textId="77777777" w:rsidR="00794AFF" w:rsidRPr="00794AFF" w:rsidRDefault="00794AFF" w:rsidP="00794AFF">
      <w:pPr>
        <w:pStyle w:val="EndNoteBibliography"/>
        <w:ind w:left="720" w:hanging="720"/>
        <w:rPr>
          <w:rFonts w:ascii="Calibri" w:hAnsi="Calibri" w:cs="Calibri"/>
          <w:noProof/>
          <w:sz w:val="18"/>
          <w:szCs w:val="18"/>
        </w:rPr>
      </w:pPr>
    </w:p>
    <w:p w14:paraId="234D1614" w14:textId="77777777" w:rsidR="00794AFF" w:rsidRPr="00794AFF" w:rsidRDefault="00794AFF" w:rsidP="00794AFF">
      <w:pPr>
        <w:pStyle w:val="EndNoteBibliography"/>
        <w:ind w:left="720" w:hanging="720"/>
        <w:rPr>
          <w:rFonts w:ascii="Calibri" w:hAnsi="Calibri" w:cs="Calibri"/>
          <w:noProof/>
          <w:sz w:val="18"/>
          <w:szCs w:val="18"/>
        </w:rPr>
      </w:pPr>
      <w:r w:rsidRPr="00794AFF">
        <w:rPr>
          <w:rFonts w:ascii="Calibri" w:hAnsi="Calibri" w:cs="Calibri"/>
          <w:noProof/>
          <w:sz w:val="18"/>
          <w:szCs w:val="18"/>
        </w:rPr>
        <w:t xml:space="preserve">7. Kuniya H, Aota Y, Kawai T, et al. Prospective study of superior cluneal nerve disorder as a potential cause of low back pain and leg symptoms. </w:t>
      </w:r>
      <w:r w:rsidRPr="00794AFF">
        <w:rPr>
          <w:rFonts w:ascii="Calibri" w:hAnsi="Calibri" w:cs="Calibri"/>
          <w:i/>
          <w:noProof/>
          <w:sz w:val="18"/>
          <w:szCs w:val="18"/>
        </w:rPr>
        <w:t>J Orthop Surg Res</w:t>
      </w:r>
      <w:r w:rsidRPr="00794AFF">
        <w:rPr>
          <w:rFonts w:ascii="Calibri" w:hAnsi="Calibri" w:cs="Calibri"/>
          <w:noProof/>
          <w:sz w:val="18"/>
          <w:szCs w:val="18"/>
        </w:rPr>
        <w:t xml:space="preserve"> 2014;9:139. doi: 10.1186/s13018-014-0139-7 [published Online First: 2015/01/01]</w:t>
      </w:r>
    </w:p>
    <w:p w14:paraId="5F54CBA4" w14:textId="77777777" w:rsidR="00794AFF" w:rsidRPr="00794AFF" w:rsidRDefault="00794AFF" w:rsidP="00794AFF">
      <w:pPr>
        <w:pStyle w:val="EndNoteBibliography"/>
        <w:ind w:left="720" w:hanging="720"/>
        <w:rPr>
          <w:rFonts w:ascii="Calibri" w:hAnsi="Calibri" w:cs="Calibri"/>
          <w:noProof/>
          <w:sz w:val="18"/>
          <w:szCs w:val="18"/>
        </w:rPr>
      </w:pPr>
    </w:p>
    <w:p w14:paraId="53152C44" w14:textId="77777777" w:rsidR="00794AFF" w:rsidRPr="00794AFF" w:rsidRDefault="00794AFF" w:rsidP="00794AFF">
      <w:pPr>
        <w:pStyle w:val="EndNoteBibliography"/>
        <w:ind w:left="720" w:hanging="720"/>
        <w:rPr>
          <w:rFonts w:ascii="Calibri" w:hAnsi="Calibri" w:cs="Calibri"/>
          <w:noProof/>
          <w:sz w:val="18"/>
          <w:szCs w:val="18"/>
        </w:rPr>
      </w:pPr>
      <w:r w:rsidRPr="00794AFF">
        <w:rPr>
          <w:rFonts w:ascii="Calibri" w:hAnsi="Calibri" w:cs="Calibri"/>
          <w:noProof/>
          <w:sz w:val="18"/>
          <w:szCs w:val="18"/>
        </w:rPr>
        <w:t xml:space="preserve">8. Konno T, Aota Y, Kuniya H, et al. Anatomical etiology of "pseudo-sciatica" from superior cluneal nerve entrapment: a laboratory investigation. </w:t>
      </w:r>
      <w:r w:rsidRPr="00794AFF">
        <w:rPr>
          <w:rFonts w:ascii="Calibri" w:hAnsi="Calibri" w:cs="Calibri"/>
          <w:i/>
          <w:noProof/>
          <w:sz w:val="18"/>
          <w:szCs w:val="18"/>
        </w:rPr>
        <w:t>J Pain Res</w:t>
      </w:r>
      <w:r w:rsidRPr="00794AFF">
        <w:rPr>
          <w:rFonts w:ascii="Calibri" w:hAnsi="Calibri" w:cs="Calibri"/>
          <w:noProof/>
          <w:sz w:val="18"/>
          <w:szCs w:val="18"/>
        </w:rPr>
        <w:t xml:space="preserve"> 2017;10:2539-45. doi: 10.2147/JPR.S142115 [published Online First: 2017/11/16]</w:t>
      </w:r>
    </w:p>
    <w:p w14:paraId="6E5016CD" w14:textId="77777777" w:rsidR="00794AFF" w:rsidRPr="00794AFF" w:rsidRDefault="00794AFF" w:rsidP="00794AFF">
      <w:pPr>
        <w:pStyle w:val="EndNoteBibliography"/>
        <w:ind w:left="720" w:hanging="720"/>
        <w:rPr>
          <w:rFonts w:ascii="Calibri" w:hAnsi="Calibri" w:cs="Calibri"/>
          <w:noProof/>
          <w:sz w:val="18"/>
          <w:szCs w:val="18"/>
        </w:rPr>
      </w:pPr>
    </w:p>
    <w:p w14:paraId="1187981B" w14:textId="77777777" w:rsidR="00794AFF" w:rsidRPr="00794AFF" w:rsidRDefault="00794AFF" w:rsidP="00794AFF">
      <w:pPr>
        <w:pStyle w:val="EndNoteBibliography"/>
        <w:ind w:left="720" w:hanging="720"/>
        <w:rPr>
          <w:rFonts w:ascii="Calibri" w:hAnsi="Calibri" w:cs="Calibri"/>
          <w:noProof/>
          <w:sz w:val="18"/>
          <w:szCs w:val="18"/>
        </w:rPr>
      </w:pPr>
      <w:r w:rsidRPr="00794AFF">
        <w:rPr>
          <w:rFonts w:ascii="Calibri" w:hAnsi="Calibri" w:cs="Calibri"/>
          <w:noProof/>
          <w:sz w:val="18"/>
          <w:szCs w:val="18"/>
        </w:rPr>
        <w:t xml:space="preserve">9. Iwanaga J, Simonds E, Patel M, et al. Anatomic Study of Superior Cluneal Nerves: Application to Low Back Pain and Surgical Approaches to Lumbar Vertebrae. </w:t>
      </w:r>
      <w:r w:rsidRPr="00794AFF">
        <w:rPr>
          <w:rFonts w:ascii="Calibri" w:hAnsi="Calibri" w:cs="Calibri"/>
          <w:i/>
          <w:noProof/>
          <w:sz w:val="18"/>
          <w:szCs w:val="18"/>
        </w:rPr>
        <w:t>World neurosurgery</w:t>
      </w:r>
      <w:r w:rsidRPr="00794AFF">
        <w:rPr>
          <w:rFonts w:ascii="Calibri" w:hAnsi="Calibri" w:cs="Calibri"/>
          <w:noProof/>
          <w:sz w:val="18"/>
          <w:szCs w:val="18"/>
        </w:rPr>
        <w:t xml:space="preserve"> 2018;116:e766-e68. doi: 10.1016/j.wneu.2018.05.087 [published Online First: 2018/05/23]</w:t>
      </w:r>
    </w:p>
    <w:p w14:paraId="19E3115D" w14:textId="77777777" w:rsidR="00794AFF" w:rsidRPr="00794AFF" w:rsidRDefault="00794AFF" w:rsidP="00794AFF">
      <w:pPr>
        <w:pStyle w:val="EndNoteBibliography"/>
        <w:rPr>
          <w:rFonts w:ascii="Calibri" w:hAnsi="Calibri" w:cs="Calibri"/>
          <w:noProof/>
          <w:sz w:val="18"/>
          <w:szCs w:val="18"/>
        </w:rPr>
      </w:pPr>
    </w:p>
    <w:p w14:paraId="371DD030" w14:textId="77777777" w:rsidR="00794AFF" w:rsidRPr="00794AFF" w:rsidRDefault="00794AFF" w:rsidP="00794AFF">
      <w:pPr>
        <w:pStyle w:val="EndNoteBibliography"/>
        <w:ind w:left="720" w:hanging="720"/>
        <w:rPr>
          <w:rFonts w:ascii="Calibri" w:hAnsi="Calibri" w:cs="Calibri"/>
          <w:noProof/>
          <w:sz w:val="18"/>
          <w:szCs w:val="18"/>
        </w:rPr>
      </w:pPr>
      <w:r w:rsidRPr="00794AFF">
        <w:rPr>
          <w:rFonts w:ascii="Calibri" w:hAnsi="Calibri" w:cs="Calibri"/>
          <w:noProof/>
          <w:sz w:val="18"/>
          <w:szCs w:val="18"/>
        </w:rPr>
        <w:t>10. Knight MTN. Lumbar foraminal pain sources: an aware state analysis. In: Simunovic Z, ed. Lasers in Surgery and Dentistry. Switzerland: European Medical Laser Association, 2001:233-52.</w:t>
      </w:r>
    </w:p>
    <w:p w14:paraId="0DC88C25" w14:textId="77777777" w:rsidR="00794AFF" w:rsidRPr="00794AFF" w:rsidRDefault="00794AFF" w:rsidP="00794AFF">
      <w:pPr>
        <w:pStyle w:val="EndNoteBibliography"/>
        <w:ind w:left="720" w:hanging="720"/>
        <w:rPr>
          <w:rFonts w:ascii="Calibri" w:hAnsi="Calibri" w:cs="Calibri"/>
          <w:noProof/>
          <w:sz w:val="18"/>
          <w:szCs w:val="18"/>
        </w:rPr>
      </w:pPr>
    </w:p>
    <w:p w14:paraId="61B51E96" w14:textId="77777777" w:rsidR="00794AFF" w:rsidRPr="00794AFF" w:rsidRDefault="00794AFF" w:rsidP="00794AFF">
      <w:pPr>
        <w:pStyle w:val="EndNoteBibliography"/>
        <w:ind w:left="720" w:hanging="720"/>
        <w:rPr>
          <w:rFonts w:ascii="Calibri" w:hAnsi="Calibri" w:cs="Calibri"/>
          <w:noProof/>
          <w:sz w:val="18"/>
          <w:szCs w:val="18"/>
        </w:rPr>
      </w:pPr>
      <w:r w:rsidRPr="00794AFF">
        <w:rPr>
          <w:rFonts w:ascii="Calibri" w:hAnsi="Calibri" w:cs="Calibri"/>
          <w:noProof/>
          <w:sz w:val="18"/>
          <w:szCs w:val="18"/>
        </w:rPr>
        <w:t xml:space="preserve">11. Knight MTN, Goswami A, Patko JT, et al. Endoscopic foraminoplasty: a prospective study on 250 consecutive patients with independent evaluation. </w:t>
      </w:r>
      <w:r w:rsidRPr="00794AFF">
        <w:rPr>
          <w:rFonts w:ascii="Calibri" w:hAnsi="Calibri" w:cs="Calibri"/>
          <w:i/>
          <w:noProof/>
          <w:sz w:val="18"/>
          <w:szCs w:val="18"/>
        </w:rPr>
        <w:t>J Clin Laser Med Surg</w:t>
      </w:r>
      <w:r w:rsidRPr="00794AFF">
        <w:rPr>
          <w:rFonts w:ascii="Calibri" w:hAnsi="Calibri" w:cs="Calibri"/>
          <w:noProof/>
          <w:sz w:val="18"/>
          <w:szCs w:val="18"/>
        </w:rPr>
        <w:t xml:space="preserve"> 2001;19(2):73-81.</w:t>
      </w:r>
    </w:p>
    <w:p w14:paraId="7C6354B4" w14:textId="77777777" w:rsidR="00794AFF" w:rsidRPr="00794AFF" w:rsidRDefault="00794AFF" w:rsidP="00794AFF">
      <w:pPr>
        <w:pStyle w:val="EndNoteBibliography"/>
        <w:ind w:left="720" w:hanging="720"/>
        <w:rPr>
          <w:rFonts w:ascii="Calibri" w:hAnsi="Calibri" w:cs="Calibri"/>
          <w:noProof/>
          <w:sz w:val="18"/>
          <w:szCs w:val="18"/>
        </w:rPr>
      </w:pPr>
    </w:p>
    <w:p w14:paraId="09B57308" w14:textId="77777777" w:rsidR="00794AFF" w:rsidRPr="00794AFF" w:rsidRDefault="00794AFF" w:rsidP="00794AFF">
      <w:pPr>
        <w:pStyle w:val="EndNoteBibliography"/>
        <w:ind w:left="720" w:hanging="720"/>
        <w:rPr>
          <w:rFonts w:ascii="Calibri" w:hAnsi="Calibri" w:cs="Calibri"/>
          <w:noProof/>
          <w:sz w:val="18"/>
          <w:szCs w:val="18"/>
        </w:rPr>
      </w:pPr>
      <w:r w:rsidRPr="00794AFF">
        <w:rPr>
          <w:rFonts w:ascii="Calibri" w:hAnsi="Calibri" w:cs="Calibri"/>
          <w:noProof/>
          <w:sz w:val="18"/>
          <w:szCs w:val="18"/>
        </w:rPr>
        <w:t xml:space="preserve">12. Morimoto D, Isu T, Kim K, et al. Long-term Outcome of Surgical Treatment for Superior Cluneal Nerve Entrapment Neuropathy. </w:t>
      </w:r>
      <w:r w:rsidRPr="00794AFF">
        <w:rPr>
          <w:rFonts w:ascii="Calibri" w:hAnsi="Calibri" w:cs="Calibri"/>
          <w:i/>
          <w:noProof/>
          <w:sz w:val="18"/>
          <w:szCs w:val="18"/>
        </w:rPr>
        <w:t>Spine (Phila Pa 1976)</w:t>
      </w:r>
      <w:r w:rsidRPr="00794AFF">
        <w:rPr>
          <w:rFonts w:ascii="Calibri" w:hAnsi="Calibri" w:cs="Calibri"/>
          <w:noProof/>
          <w:sz w:val="18"/>
          <w:szCs w:val="18"/>
        </w:rPr>
        <w:t xml:space="preserve"> 2017;42(10):783-88. doi: </w:t>
      </w:r>
      <w:r w:rsidRPr="00794AFF">
        <w:rPr>
          <w:rFonts w:ascii="Calibri" w:hAnsi="Calibri" w:cs="Calibri"/>
          <w:noProof/>
          <w:sz w:val="18"/>
          <w:szCs w:val="18"/>
        </w:rPr>
        <w:lastRenderedPageBreak/>
        <w:t>10.1097/BRS.0000000000001913 [published Online First: 2016/09/27]</w:t>
      </w:r>
    </w:p>
    <w:p w14:paraId="110AB447" w14:textId="77777777" w:rsidR="00794AFF" w:rsidRPr="00794AFF" w:rsidRDefault="00794AFF" w:rsidP="00794AFF">
      <w:pPr>
        <w:pStyle w:val="EndNoteBibliography"/>
        <w:ind w:left="720" w:hanging="720"/>
        <w:rPr>
          <w:rFonts w:ascii="Calibri" w:hAnsi="Calibri" w:cs="Calibri"/>
          <w:noProof/>
          <w:sz w:val="18"/>
          <w:szCs w:val="18"/>
        </w:rPr>
      </w:pPr>
    </w:p>
    <w:p w14:paraId="62B2CE60" w14:textId="77777777" w:rsidR="00794AFF" w:rsidRPr="00794AFF" w:rsidRDefault="00794AFF" w:rsidP="00794AFF">
      <w:pPr>
        <w:pStyle w:val="EndNoteBibliography"/>
        <w:ind w:left="720" w:hanging="720"/>
        <w:rPr>
          <w:rFonts w:ascii="Calibri" w:hAnsi="Calibri" w:cs="Calibri"/>
          <w:noProof/>
          <w:sz w:val="18"/>
          <w:szCs w:val="18"/>
        </w:rPr>
      </w:pPr>
      <w:r w:rsidRPr="00794AFF">
        <w:rPr>
          <w:rFonts w:ascii="Calibri" w:hAnsi="Calibri" w:cs="Calibri"/>
          <w:noProof/>
          <w:sz w:val="18"/>
          <w:szCs w:val="18"/>
        </w:rPr>
        <w:t xml:space="preserve">13. Matsumoto J, Isu T, Kim K, et al. Surgical treatment of middle cluneal nerve entrapment neuropathy: technical note. </w:t>
      </w:r>
      <w:r w:rsidRPr="00794AFF">
        <w:rPr>
          <w:rFonts w:ascii="Calibri" w:hAnsi="Calibri" w:cs="Calibri"/>
          <w:i/>
          <w:noProof/>
          <w:sz w:val="18"/>
          <w:szCs w:val="18"/>
        </w:rPr>
        <w:t xml:space="preserve">J </w:t>
      </w:r>
      <w:r w:rsidRPr="00794AFF">
        <w:rPr>
          <w:rFonts w:ascii="Calibri" w:hAnsi="Calibri" w:cs="Calibri"/>
          <w:i/>
          <w:noProof/>
          <w:sz w:val="18"/>
          <w:szCs w:val="18"/>
        </w:rPr>
        <w:t>Neurosurg Spine</w:t>
      </w:r>
      <w:r w:rsidRPr="00794AFF">
        <w:rPr>
          <w:rFonts w:ascii="Calibri" w:hAnsi="Calibri" w:cs="Calibri"/>
          <w:noProof/>
          <w:sz w:val="18"/>
          <w:szCs w:val="18"/>
        </w:rPr>
        <w:t xml:space="preserve"> 2018;29(2):208-13. doi: 10.3171/2017.12.SPINE17991 [published Online First: 2018/05/19]</w:t>
      </w:r>
    </w:p>
    <w:p w14:paraId="27A3E2A3" w14:textId="00A416C4" w:rsidR="00AE3E37" w:rsidRDefault="00794AFF" w:rsidP="00794AFF">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sidRPr="00794AFF">
        <w:rPr>
          <w:rFonts w:ascii="Calibri" w:hAnsi="Calibri" w:cs="Calibri"/>
          <w:sz w:val="18"/>
          <w:szCs w:val="18"/>
        </w:rPr>
        <w:fldChar w:fldCharType="end"/>
      </w:r>
      <w:r w:rsidR="008756E6">
        <w:rPr>
          <w:rFonts w:ascii="Calibri" w:hAnsi="Calibri"/>
        </w:rPr>
        <w:t xml:space="preserve">   </w:t>
      </w:r>
    </w:p>
    <w:p w14:paraId="553A3FB6" w14:textId="77777777" w:rsidR="00AE3E37" w:rsidRPr="00D62425" w:rsidRDefault="00D62425">
      <w:pPr>
        <w:pStyle w:val="BodyText"/>
        <w:rPr>
          <w:rFonts w:ascii="Calibri"/>
          <w:b/>
          <w:sz w:val="20"/>
        </w:rPr>
      </w:pPr>
      <w:r>
        <w:rPr>
          <w:rFonts w:ascii="Calibri"/>
          <w:sz w:val="20"/>
        </w:rPr>
        <w:t xml:space="preserve">                 </w:t>
      </w:r>
      <w:r w:rsidRPr="00D62425">
        <w:rPr>
          <w:rFonts w:ascii="Calibri"/>
          <w:b/>
          <w:sz w:val="20"/>
        </w:rPr>
        <w:t>Photograph</w:t>
      </w:r>
    </w:p>
    <w:p w14:paraId="36AB014F" w14:textId="77777777"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50D49B3D" wp14:editId="0754602F">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2974746F" id="Group 4" o:spid="_x0000_s1026" style="width:313.05pt;height:2pt;mso-position-horizontal-relative:char;mso-position-vertical-relative:line" coordsize="6261,4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">
                <v:line id="Line 5" o:spid="_x0000_s1027" style="position:absolute;visibility:visible;mso-wrap-style:square" from="20,20" to="6241,2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" strokecolor="#004080" strokeweight="2pt"/>
                <w10:anchorlock/>
              </v:group>
            </w:pict>
          </mc:Fallback>
        </mc:AlternateContent>
      </w:r>
    </w:p>
    <w:p w14:paraId="037E37C8" w14:textId="77777777" w:rsidR="004253BF" w:rsidRDefault="008756E6" w:rsidP="00404E5B">
      <w:pPr>
        <w:spacing w:before="92"/>
        <w:ind w:right="4234"/>
        <w:rPr>
          <w:noProof/>
        </w:rPr>
      </w:pPr>
      <w:r>
        <w:rPr>
          <w:noProof/>
        </w:rPr>
        <w:t xml:space="preserve">              </w:t>
      </w:r>
      <w:r w:rsidR="004253BF">
        <w:rPr>
          <w:rFonts w:ascii="Arial"/>
          <w:noProof/>
          <w:color w:val="BF5A14"/>
        </w:rPr>
        <w:drawing>
          <wp:inline distT="0" distB="0" distL="0" distR="0" wp14:anchorId="4E975CA0" wp14:editId="66128D56">
            <wp:extent cx="876284" cy="916287"/>
            <wp:effectExtent l="0" t="0" r="635" b="0"/>
            <wp:docPr id="4" name="Picture 4" descr="Martin Knight oblique side sh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MK Mug Shot May 2016 1Mb.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901529" cy="942684"/>
                    </a:xfrm>
                    <a:prstGeom prst="rect">
                      <a:avLst/>
                    </a:prstGeom>
                  </pic:spPr>
                </pic:pic>
              </a:graphicData>
            </a:graphic>
          </wp:inline>
        </w:drawing>
      </w:r>
    </w:p>
    <w:p w14:paraId="595E0585" w14:textId="25DF52F5" w:rsidR="00AE3E37" w:rsidRDefault="00A9710C" w:rsidP="00404E5B">
      <w:pPr>
        <w:spacing w:before="92"/>
        <w:ind w:right="4234"/>
        <w:rPr>
          <w:rFonts w:ascii="Arial"/>
        </w:rPr>
      </w:pPr>
      <w:r>
        <w:rPr>
          <w:rFonts w:ascii="Arial"/>
          <w:color w:val="BF5A14"/>
        </w:rPr>
        <w:t>Biography</w:t>
      </w:r>
      <w:r w:rsidR="00404E5B">
        <w:rPr>
          <w:rFonts w:ascii="Arial"/>
          <w:color w:val="BF5A14"/>
        </w:rPr>
        <w:t xml:space="preserve"> (</w:t>
      </w:r>
      <w:proofErr w:type="gramStart"/>
      <w:r w:rsidR="00404E5B">
        <w:rPr>
          <w:rFonts w:ascii="Arial"/>
          <w:color w:val="BF5A14"/>
        </w:rPr>
        <w:t>150 word</w:t>
      </w:r>
      <w:proofErr w:type="gramEnd"/>
      <w:r w:rsidR="00404E5B">
        <w:rPr>
          <w:rFonts w:ascii="Arial"/>
          <w:color w:val="BF5A14"/>
        </w:rPr>
        <w:t xml:space="preserve"> limit)</w:t>
      </w:r>
    </w:p>
    <w:p w14:paraId="3FCB500F" w14:textId="77777777" w:rsidR="00F166ED" w:rsidRPr="00F166ED" w:rsidRDefault="00F166ED" w:rsidP="00F166ED">
      <w:pPr>
        <w:rPr>
          <w:rFonts w:ascii="Calibri" w:hAnsi="Calibri" w:cs="Calibri"/>
          <w:color w:val="666666"/>
          <w:sz w:val="18"/>
          <w:szCs w:val="18"/>
          <w:shd w:val="clear" w:color="auto" w:fill="FFFFFF"/>
        </w:rPr>
      </w:pPr>
      <w:proofErr w:type="spellStart"/>
      <w:r w:rsidRPr="00F166ED">
        <w:rPr>
          <w:rFonts w:ascii="Calibri" w:hAnsi="Calibri" w:cs="Calibri"/>
          <w:b/>
          <w:bCs/>
          <w:color w:val="666666"/>
          <w:sz w:val="18"/>
          <w:szCs w:val="18"/>
          <w:shd w:val="clear" w:color="auto" w:fill="FFFFFF"/>
        </w:rPr>
        <w:t>Mr</w:t>
      </w:r>
      <w:proofErr w:type="spellEnd"/>
      <w:r w:rsidRPr="00F166ED">
        <w:rPr>
          <w:rFonts w:ascii="Calibri" w:hAnsi="Calibri" w:cs="Calibri"/>
          <w:b/>
          <w:bCs/>
          <w:color w:val="666666"/>
          <w:sz w:val="18"/>
          <w:szCs w:val="18"/>
          <w:shd w:val="clear" w:color="auto" w:fill="FFFFFF"/>
        </w:rPr>
        <w:t xml:space="preserve"> Martin Knight</w:t>
      </w:r>
      <w:r w:rsidRPr="00F166ED">
        <w:rPr>
          <w:rFonts w:ascii="Calibri" w:hAnsi="Calibri" w:cs="Calibri"/>
          <w:color w:val="666666"/>
          <w:sz w:val="18"/>
          <w:szCs w:val="18"/>
          <w:shd w:val="clear" w:color="auto" w:fill="FFFFFF"/>
        </w:rPr>
        <w:t> is a pioneering </w:t>
      </w:r>
      <w:r w:rsidRPr="00F166ED">
        <w:rPr>
          <w:rFonts w:ascii="Calibri" w:hAnsi="Calibri" w:cs="Calibri"/>
          <w:b/>
          <w:bCs/>
          <w:color w:val="666666"/>
          <w:sz w:val="18"/>
          <w:szCs w:val="18"/>
          <w:shd w:val="clear" w:color="auto" w:fill="FFFFFF"/>
        </w:rPr>
        <w:t>endoscopic minimally-invasive spinal surgeon</w:t>
      </w:r>
      <w:r w:rsidRPr="00F166ED">
        <w:rPr>
          <w:rFonts w:ascii="Calibri" w:hAnsi="Calibri" w:cs="Calibri"/>
          <w:color w:val="666666"/>
          <w:sz w:val="18"/>
          <w:szCs w:val="18"/>
          <w:shd w:val="clear" w:color="auto" w:fill="FFFFFF"/>
        </w:rPr>
        <w:t xml:space="preserve"> known for pushing the boundaries of surgical techniques and developing what we now know as </w:t>
      </w:r>
      <w:proofErr w:type="spellStart"/>
      <w:r w:rsidRPr="00F166ED">
        <w:rPr>
          <w:rFonts w:ascii="Calibri" w:hAnsi="Calibri" w:cs="Calibri"/>
          <w:color w:val="666666"/>
          <w:sz w:val="18"/>
          <w:szCs w:val="18"/>
          <w:shd w:val="clear" w:color="auto" w:fill="FFFFFF"/>
        </w:rPr>
        <w:t>personalised</w:t>
      </w:r>
      <w:proofErr w:type="spellEnd"/>
      <w:r w:rsidRPr="00F166ED">
        <w:rPr>
          <w:rFonts w:ascii="Calibri" w:hAnsi="Calibri" w:cs="Calibri"/>
          <w:color w:val="666666"/>
          <w:sz w:val="18"/>
          <w:szCs w:val="18"/>
          <w:shd w:val="clear" w:color="auto" w:fill="FFFFFF"/>
        </w:rPr>
        <w:t xml:space="preserve"> tailored spinal surgery. </w:t>
      </w:r>
      <w:proofErr w:type="spellStart"/>
      <w:r w:rsidRPr="00F166ED">
        <w:rPr>
          <w:rFonts w:ascii="Calibri" w:hAnsi="Calibri" w:cs="Calibri"/>
          <w:color w:val="666666"/>
          <w:sz w:val="18"/>
          <w:szCs w:val="18"/>
          <w:shd w:val="clear" w:color="auto" w:fill="FFFFFF"/>
        </w:rPr>
        <w:t>Mr</w:t>
      </w:r>
      <w:proofErr w:type="spellEnd"/>
      <w:r w:rsidRPr="00F166ED">
        <w:rPr>
          <w:rFonts w:ascii="Calibri" w:hAnsi="Calibri" w:cs="Calibri"/>
          <w:color w:val="666666"/>
          <w:sz w:val="18"/>
          <w:szCs w:val="18"/>
          <w:shd w:val="clear" w:color="auto" w:fill="FFFFFF"/>
        </w:rPr>
        <w:t xml:space="preserve"> Knight is an expert in treating degenerative disc disease, sciatica, slipped disc, spinal stenosis, spondylolisthesis, “Instability”, discogenic pain, annular tears and failed back surgery.</w:t>
      </w:r>
      <w:r w:rsidRPr="00F166ED">
        <w:rPr>
          <w:rFonts w:ascii="Calibri" w:hAnsi="Calibri" w:cs="Calibri"/>
          <w:color w:val="666666"/>
          <w:sz w:val="18"/>
          <w:szCs w:val="18"/>
        </w:rPr>
        <w:br/>
      </w:r>
      <w:r w:rsidRPr="00F166ED">
        <w:rPr>
          <w:rFonts w:ascii="Calibri" w:hAnsi="Calibri" w:cs="Calibri"/>
          <w:color w:val="666666"/>
          <w:sz w:val="18"/>
          <w:szCs w:val="18"/>
        </w:rPr>
        <w:br/>
      </w:r>
      <w:r w:rsidRPr="00F166ED">
        <w:rPr>
          <w:rFonts w:ascii="Calibri" w:hAnsi="Calibri" w:cs="Calibri"/>
          <w:color w:val="666666"/>
          <w:sz w:val="18"/>
          <w:szCs w:val="18"/>
          <w:shd w:val="clear" w:color="auto" w:fill="FFFFFF"/>
        </w:rPr>
        <w:t xml:space="preserve">After training at St Bartholomew's and St Thomas', The Royal Postgraduate Medical School he started his consultant career as an </w:t>
      </w:r>
      <w:proofErr w:type="spellStart"/>
      <w:r w:rsidRPr="00F166ED">
        <w:rPr>
          <w:rFonts w:ascii="Calibri" w:hAnsi="Calibri" w:cs="Calibri"/>
          <w:color w:val="666666"/>
          <w:sz w:val="18"/>
          <w:szCs w:val="18"/>
          <w:shd w:val="clear" w:color="auto" w:fill="FFFFFF"/>
        </w:rPr>
        <w:t>Orthopaedic</w:t>
      </w:r>
      <w:proofErr w:type="spellEnd"/>
      <w:r w:rsidRPr="00F166ED">
        <w:rPr>
          <w:rFonts w:ascii="Calibri" w:hAnsi="Calibri" w:cs="Calibri"/>
          <w:color w:val="666666"/>
          <w:sz w:val="18"/>
          <w:szCs w:val="18"/>
          <w:shd w:val="clear" w:color="auto" w:fill="FFFFFF"/>
        </w:rPr>
        <w:t xml:space="preserve"> surgeon in the Royal Navy. Thereafter as an NHS consultant, he committed to </w:t>
      </w:r>
      <w:proofErr w:type="spellStart"/>
      <w:r w:rsidRPr="00F166ED">
        <w:rPr>
          <w:rFonts w:ascii="Calibri" w:hAnsi="Calibri" w:cs="Calibri"/>
          <w:color w:val="666666"/>
          <w:sz w:val="18"/>
          <w:szCs w:val="18"/>
          <w:shd w:val="clear" w:color="auto" w:fill="FFFFFF"/>
        </w:rPr>
        <w:t>revolutionising</w:t>
      </w:r>
      <w:proofErr w:type="spellEnd"/>
      <w:r w:rsidRPr="00F166ED">
        <w:rPr>
          <w:rFonts w:ascii="Calibri" w:hAnsi="Calibri" w:cs="Calibri"/>
          <w:color w:val="666666"/>
          <w:sz w:val="18"/>
          <w:szCs w:val="18"/>
          <w:shd w:val="clear" w:color="auto" w:fill="FFFFFF"/>
        </w:rPr>
        <w:t xml:space="preserve"> the use of endoscopic techniques in spinal surgery and to this day continues to push the envelope of what is possible. </w:t>
      </w:r>
    </w:p>
    <w:p w14:paraId="75CB31FA" w14:textId="77777777" w:rsidR="00F166ED" w:rsidRPr="00F166ED" w:rsidRDefault="00F166ED" w:rsidP="00F166ED">
      <w:pPr>
        <w:rPr>
          <w:rFonts w:ascii="Calibri" w:hAnsi="Calibri" w:cs="Calibri"/>
          <w:color w:val="666666"/>
          <w:sz w:val="18"/>
          <w:szCs w:val="18"/>
          <w:shd w:val="clear" w:color="auto" w:fill="FFFFFF"/>
        </w:rPr>
      </w:pPr>
    </w:p>
    <w:p w14:paraId="0F493E8E" w14:textId="77777777" w:rsidR="00F166ED" w:rsidRPr="00F166ED" w:rsidRDefault="00F166ED" w:rsidP="00F166ED">
      <w:pPr>
        <w:rPr>
          <w:rFonts w:ascii="Calibri" w:hAnsi="Calibri" w:cs="Calibri"/>
          <w:sz w:val="18"/>
          <w:szCs w:val="18"/>
        </w:rPr>
      </w:pPr>
      <w:proofErr w:type="spellStart"/>
      <w:r w:rsidRPr="00F166ED">
        <w:rPr>
          <w:rFonts w:ascii="Calibri" w:hAnsi="Calibri" w:cs="Calibri"/>
          <w:color w:val="666666"/>
          <w:sz w:val="18"/>
          <w:szCs w:val="18"/>
          <w:shd w:val="clear" w:color="auto" w:fill="FFFFFF"/>
        </w:rPr>
        <w:t>Mr</w:t>
      </w:r>
      <w:proofErr w:type="spellEnd"/>
      <w:r w:rsidRPr="00F166ED">
        <w:rPr>
          <w:rFonts w:ascii="Calibri" w:hAnsi="Calibri" w:cs="Calibri"/>
          <w:color w:val="666666"/>
          <w:sz w:val="18"/>
          <w:szCs w:val="18"/>
          <w:shd w:val="clear" w:color="auto" w:fill="FFFFFF"/>
        </w:rPr>
        <w:t xml:space="preserve"> Knight is an honorary Senior Lecturer at the University of Manchester and the University of Central Lancashire, developing Advanced Instrumentation and Disc Regenerative Surgery.  He is currently the medical director of </w:t>
      </w:r>
      <w:r w:rsidRPr="00F166ED">
        <w:rPr>
          <w:rFonts w:ascii="Calibri" w:hAnsi="Calibri" w:cs="Calibri"/>
          <w:b/>
          <w:bCs/>
          <w:color w:val="666666"/>
          <w:sz w:val="18"/>
          <w:szCs w:val="18"/>
          <w:shd w:val="clear" w:color="auto" w:fill="FFFFFF"/>
        </w:rPr>
        <w:t>The Spinal Foundation </w:t>
      </w:r>
      <w:r w:rsidRPr="00F166ED">
        <w:rPr>
          <w:rFonts w:ascii="Calibri" w:hAnsi="Calibri" w:cs="Calibri"/>
          <w:color w:val="666666"/>
          <w:sz w:val="18"/>
          <w:szCs w:val="18"/>
          <w:shd w:val="clear" w:color="auto" w:fill="FFFFFF"/>
        </w:rPr>
        <w:t>on</w:t>
      </w:r>
      <w:r w:rsidRPr="00F166ED">
        <w:rPr>
          <w:rFonts w:ascii="Calibri" w:hAnsi="Calibri" w:cs="Calibri"/>
          <w:b/>
          <w:bCs/>
          <w:color w:val="666666"/>
          <w:sz w:val="18"/>
          <w:szCs w:val="18"/>
          <w:shd w:val="clear" w:color="auto" w:fill="FFFFFF"/>
        </w:rPr>
        <w:t> Harley Street, London.</w:t>
      </w:r>
    </w:p>
    <w:p w14:paraId="2533CDED" w14:textId="26CC65FB" w:rsidR="00AE3E37" w:rsidRDefault="00A9710C">
      <w:pPr>
        <w:spacing w:before="62"/>
        <w:ind w:left="4217" w:right="4235"/>
        <w:jc w:val="center"/>
        <w:rPr>
          <w:rFonts w:ascii="Arial"/>
          <w:sz w:val="14"/>
        </w:rPr>
      </w:pPr>
      <w:r>
        <w:rPr>
          <w:rFonts w:ascii="Arial"/>
          <w:sz w:val="14"/>
        </w:rPr>
        <w:t xml:space="preserve">Email: </w:t>
      </w:r>
      <w:bookmarkStart w:id="0" w:name="_GoBack"/>
      <w:bookmarkEnd w:id="0"/>
      <w:r w:rsidR="00B94BE0">
        <w:rPr>
          <w:rFonts w:ascii="Arial"/>
          <w:sz w:val="14"/>
        </w:rPr>
        <w:fldChar w:fldCharType="begin"/>
      </w:r>
      <w:r w:rsidR="00B94BE0">
        <w:rPr>
          <w:rFonts w:ascii="Arial"/>
          <w:sz w:val="14"/>
        </w:rPr>
        <w:instrText xml:space="preserve"> HYPERLINK "mailto:</w:instrText>
      </w:r>
      <w:r w:rsidR="00B94BE0" w:rsidRPr="00B94BE0">
        <w:rPr>
          <w:rFonts w:ascii="Arial"/>
          <w:sz w:val="14"/>
        </w:rPr>
        <w:instrText>mknight@spinal-foundation.org</w:instrText>
      </w:r>
      <w:r w:rsidR="00B94BE0">
        <w:rPr>
          <w:rFonts w:ascii="Arial"/>
          <w:sz w:val="14"/>
        </w:rPr>
        <w:instrText xml:space="preserve">" </w:instrText>
      </w:r>
      <w:r w:rsidR="00B94BE0">
        <w:rPr>
          <w:rFonts w:ascii="Arial"/>
          <w:sz w:val="14"/>
        </w:rPr>
        <w:fldChar w:fldCharType="separate"/>
      </w:r>
      <w:r w:rsidR="00B94BE0" w:rsidRPr="00574270">
        <w:rPr>
          <w:rStyle w:val="Hyperlink"/>
          <w:rFonts w:ascii="Arial"/>
          <w:sz w:val="14"/>
        </w:rPr>
        <w:t>mknight@spin</w:t>
      </w:r>
      <w:r w:rsidR="00B94BE0" w:rsidRPr="00574270">
        <w:rPr>
          <w:rStyle w:val="Hyperlink"/>
          <w:rFonts w:ascii="Arial"/>
          <w:sz w:val="14"/>
        </w:rPr>
        <w:t>a</w:t>
      </w:r>
      <w:r w:rsidR="00B94BE0" w:rsidRPr="00574270">
        <w:rPr>
          <w:rStyle w:val="Hyperlink"/>
          <w:rFonts w:ascii="Arial"/>
          <w:sz w:val="14"/>
        </w:rPr>
        <w:t>l-</w:t>
      </w:r>
      <w:r w:rsidR="00B94BE0" w:rsidRPr="00574270">
        <w:rPr>
          <w:rStyle w:val="Hyperlink"/>
          <w:rFonts w:ascii="Arial"/>
          <w:sz w:val="14"/>
        </w:rPr>
        <w:t>f</w:t>
      </w:r>
      <w:r w:rsidR="00B94BE0" w:rsidRPr="00574270">
        <w:rPr>
          <w:rStyle w:val="Hyperlink"/>
          <w:rFonts w:ascii="Arial"/>
          <w:sz w:val="14"/>
        </w:rPr>
        <w:t>oundation.org</w:t>
      </w:r>
      <w:r w:rsidR="00B94BE0">
        <w:rPr>
          <w:rFonts w:ascii="Arial"/>
          <w:sz w:val="14"/>
        </w:rPr>
        <w:fldChar w:fldCharType="end"/>
      </w:r>
    </w:p>
    <w:p w14:paraId="4F6FC999" w14:textId="77777777"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14:anchorId="1A4AF083" wp14:editId="47F98A29">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93D4FCF"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" strokecolor="#004080" strokeweight=".5pt">
                <w10:wrap type="topAndBottom" anchorx="page"/>
              </v:line>
            </w:pict>
          </mc:Fallback>
        </mc:AlternateContent>
      </w:r>
    </w:p>
    <w:p w14:paraId="0E95DDE2" w14:textId="77777777" w:rsidR="00AE3E37" w:rsidRDefault="00AE3E37">
      <w:pPr>
        <w:pStyle w:val="BodyText"/>
        <w:rPr>
          <w:rFonts w:ascii="Arial"/>
          <w:sz w:val="20"/>
        </w:rPr>
      </w:pPr>
    </w:p>
    <w:p w14:paraId="266DDEC6" w14:textId="77777777" w:rsidR="00AE3E37" w:rsidRDefault="00AE3E37">
      <w:pPr>
        <w:pStyle w:val="BodyText"/>
        <w:rPr>
          <w:rFonts w:ascii="Arial"/>
          <w:sz w:val="20"/>
        </w:rPr>
      </w:pPr>
    </w:p>
    <w:p w14:paraId="60082A32" w14:textId="77777777" w:rsidR="00AE3E37" w:rsidRDefault="00AE3E37">
      <w:pPr>
        <w:pStyle w:val="BodyText"/>
        <w:spacing w:before="7"/>
        <w:rPr>
          <w:rFonts w:ascii="Arial"/>
          <w:sz w:val="29"/>
        </w:rPr>
      </w:pPr>
    </w:p>
    <w:p w14:paraId="344798F5" w14:textId="77777777" w:rsidR="00AE3E37" w:rsidRPr="00B21A57" w:rsidRDefault="00A9710C">
      <w:pPr>
        <w:spacing w:before="39"/>
        <w:ind w:left="100"/>
        <w:rPr>
          <w:rFonts w:ascii="Minion Pro"/>
          <w:b/>
          <w:sz w:val="20"/>
        </w:rPr>
      </w:pPr>
      <w:r w:rsidRPr="00B21A57">
        <w:rPr>
          <w:rFonts w:ascii="Minion Pro"/>
          <w:b/>
          <w:sz w:val="20"/>
        </w:rPr>
        <w:t>Notes/Comments:</w:t>
      </w:r>
    </w:p>
    <w:p w14:paraId="39C3ABD9" w14:textId="77777777" w:rsidR="00AE3E37" w:rsidRDefault="00AE3E37">
      <w:pPr>
        <w:rPr>
          <w:rFonts w:ascii="Minion Pro"/>
          <w:sz w:val="24"/>
        </w:rPr>
        <w:sectPr w:rsidR="00AE3E37">
          <w:type w:val="continuous"/>
          <w:pgSz w:w="11910" w:h="16840"/>
          <w:pgMar w:top="1740" w:right="600" w:bottom="840" w:left="620" w:header="720" w:footer="720" w:gutter="0"/>
          <w:cols w:space="720"/>
        </w:sectPr>
      </w:pPr>
    </w:p>
    <w:p w14:paraId="22A46A31" w14:textId="77777777"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9D7BF98" w14:textId="77777777" w:rsidR="00E63C89" w:rsidRDefault="00E63C89">
      <w:r>
        <w:separator/>
      </w:r>
    </w:p>
  </w:endnote>
  <w:endnote w:type="continuationSeparator" w:id="0">
    <w:p w14:paraId="3EE7E354" w14:textId="77777777" w:rsidR="00E63C89" w:rsidRDefault="00E63C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4D"/>
    <w:family w:val="swiss"/>
    <w:pitch w:val="variable"/>
    <w:sig w:usb0="00000003" w:usb1="00000000" w:usb2="00000000" w:usb3="00000000" w:csb0="00000003" w:csb1="00000000"/>
  </w:font>
  <w:font w:name="Minion Pro">
    <w:altName w:val="Cambria Math"/>
    <w:panose1 w:val="020B0604020202020204"/>
    <w:charset w:val="00"/>
    <w:family w:val="roman"/>
    <w:notTrueType/>
    <w:pitch w:val="variable"/>
    <w:sig w:usb0="00000003"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20B0604020202020204"/>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80D4546"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6131CDD3" wp14:editId="4EB20233">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055168"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4010CCF6"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131CDD3"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" filled="f" stroked="f">
              <v:textbox inset="0,0,0,0">
                <w:txbxContent>
                  <w:p w14:paraId="2D055168"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4010CCF6"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1E0B439C" wp14:editId="312D6C6C">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417B591"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5C9D4853"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E0B439C"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" filled="f" stroked="f">
              <v:textbox inset="0,0,0,0">
                <w:txbxContent>
                  <w:p w14:paraId="4417B591"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5C9D4853"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36A54047" wp14:editId="7C9FC3D9">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69258C2"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7763E37D"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6A54047"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" filled="f" stroked="f">
              <v:textbox inset="0,0,0,0">
                <w:txbxContent>
                  <w:p w14:paraId="469258C2"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7763E37D"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BFA25E5" w14:textId="77777777" w:rsidR="00E63C89" w:rsidRDefault="00E63C89">
      <w:r>
        <w:separator/>
      </w:r>
    </w:p>
  </w:footnote>
  <w:footnote w:type="continuationSeparator" w:id="0">
    <w:p w14:paraId="282E7467" w14:textId="77777777" w:rsidR="00E63C89" w:rsidRDefault="00E63C8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DD3B661"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14:anchorId="09CD19D4" wp14:editId="1C648720">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82956CB"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9CD19D4"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" filled="f" stroked="f">
              <v:textbox inset="0,0,0,0">
                <w:txbxContent>
                  <w:p w14:paraId="182956CB"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14:anchorId="57A09770" wp14:editId="46DE8219">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7B96078"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6DB68B78"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7A09770"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" filled="f" stroked="f">
              <v:textbox inset="0,0,0,0">
                <w:txbxContent>
                  <w:p w14:paraId="07B96078"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6DB68B78"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2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92984"/>
    <w:rsid w:val="000E2911"/>
    <w:rsid w:val="00104EC9"/>
    <w:rsid w:val="001263DF"/>
    <w:rsid w:val="001E763C"/>
    <w:rsid w:val="00292ED9"/>
    <w:rsid w:val="00314AFB"/>
    <w:rsid w:val="003B76D9"/>
    <w:rsid w:val="003F1070"/>
    <w:rsid w:val="00404E5B"/>
    <w:rsid w:val="00414F7B"/>
    <w:rsid w:val="004253BF"/>
    <w:rsid w:val="004355DC"/>
    <w:rsid w:val="004749B4"/>
    <w:rsid w:val="00494130"/>
    <w:rsid w:val="004F3523"/>
    <w:rsid w:val="005973B9"/>
    <w:rsid w:val="005B3A56"/>
    <w:rsid w:val="006060CE"/>
    <w:rsid w:val="0063497F"/>
    <w:rsid w:val="00650570"/>
    <w:rsid w:val="0078738A"/>
    <w:rsid w:val="00794AFF"/>
    <w:rsid w:val="00873DF0"/>
    <w:rsid w:val="008756E6"/>
    <w:rsid w:val="009B2D44"/>
    <w:rsid w:val="009C5E35"/>
    <w:rsid w:val="00A07E82"/>
    <w:rsid w:val="00A9710C"/>
    <w:rsid w:val="00AE3E37"/>
    <w:rsid w:val="00B21A57"/>
    <w:rsid w:val="00B94BE0"/>
    <w:rsid w:val="00BA46A0"/>
    <w:rsid w:val="00C33602"/>
    <w:rsid w:val="00CD6F55"/>
    <w:rsid w:val="00D62425"/>
    <w:rsid w:val="00DE3104"/>
    <w:rsid w:val="00E63C89"/>
    <w:rsid w:val="00F166ED"/>
    <w:rsid w:val="00F72EEA"/>
    <w:rsid w:val="00F8136A"/>
    <w:rsid w:val="00F84CAE"/>
    <w:rsid w:val="00FD613F"/>
    <w:rsid w:val="00FE1F7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9BB74A9"/>
  <w15:docId w15:val="{6BF2500E-35B0-3E4E-8AE6-772A23F5B3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customStyle="1" w:styleId="EndNoteBibliography">
    <w:name w:val="EndNote Bibliography"/>
    <w:basedOn w:val="Normal"/>
    <w:link w:val="EndNoteBibliographyChar"/>
    <w:rsid w:val="00794AFF"/>
    <w:pPr>
      <w:widowControl/>
    </w:pPr>
    <w:rPr>
      <w:rFonts w:ascii="Arial" w:eastAsia="Times New Roman" w:hAnsi="Arial" w:cs="Arial"/>
      <w:color w:val="000000" w:themeColor="text1"/>
      <w:sz w:val="24"/>
      <w:szCs w:val="20"/>
    </w:rPr>
  </w:style>
  <w:style w:type="character" w:customStyle="1" w:styleId="EndNoteBibliographyChar">
    <w:name w:val="EndNote Bibliography Char"/>
    <w:basedOn w:val="DefaultParagraphFont"/>
    <w:link w:val="EndNoteBibliography"/>
    <w:rsid w:val="00794AFF"/>
    <w:rPr>
      <w:rFonts w:ascii="Arial" w:eastAsia="Times New Roman" w:hAnsi="Arial" w:cs="Arial"/>
      <w:color w:val="000000" w:themeColor="text1"/>
      <w:sz w:val="24"/>
      <w:szCs w:val="20"/>
    </w:rPr>
  </w:style>
  <w:style w:type="character" w:styleId="FollowedHyperlink">
    <w:name w:val="FollowedHyperlink"/>
    <w:basedOn w:val="DefaultParagraphFont"/>
    <w:uiPriority w:val="99"/>
    <w:semiHidden/>
    <w:unhideWhenUsed/>
    <w:rsid w:val="00F166ED"/>
    <w:rPr>
      <w:color w:val="800080" w:themeColor="followedHyperlink"/>
      <w:u w:val="single"/>
    </w:rPr>
  </w:style>
  <w:style w:type="character" w:styleId="UnresolvedMention">
    <w:name w:val="Unresolved Mention"/>
    <w:basedOn w:val="DefaultParagraphFont"/>
    <w:uiPriority w:val="99"/>
    <w:semiHidden/>
    <w:unhideWhenUsed/>
    <w:rsid w:val="00B94BE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jpeg"/><Relationship Id="rId5" Type="http://schemas.openxmlformats.org/officeDocument/2006/relationships/footnotes" Target="footnotes.xml"/><Relationship Id="rId10" Type="http://schemas.openxmlformats.org/officeDocument/2006/relationships/image" Target="media/image2.jpg"/><Relationship Id="rId4" Type="http://schemas.openxmlformats.org/officeDocument/2006/relationships/webSettings" Target="webSettings.xml"/><Relationship Id="rId9" Type="http://schemas.openxmlformats.org/officeDocument/2006/relationships/image" Target="media/image1.jpe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809</Words>
  <Characters>4613</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5412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Martin Knight</cp:lastModifiedBy>
  <cp:revision>2</cp:revision>
  <dcterms:created xsi:type="dcterms:W3CDTF">2019-07-05T12:04:00Z</dcterms:created>
  <dcterms:modified xsi:type="dcterms:W3CDTF">2019-07-05T12:04:00Z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