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F8DCE" w14:textId="6B5AA90A" w:rsidR="00DF4179" w:rsidRPr="00DF4179" w:rsidRDefault="00DF4179" w:rsidP="008A26BC">
      <w:pPr>
        <w:pStyle w:val="BodyText"/>
        <w:spacing w:before="73"/>
        <w:ind w:left="100" w:right="5987"/>
        <w:rPr>
          <w:rFonts w:ascii="Minion Pro" w:eastAsia="Minion Pro" w:hAnsi="Minion Pro" w:cs="Minion Pro"/>
          <w:b/>
          <w:bCs/>
          <w:color w:val="337AB7"/>
          <w:sz w:val="40"/>
          <w:szCs w:val="40"/>
        </w:rPr>
      </w:pPr>
      <w:r w:rsidRPr="00DF4179">
        <w:rPr>
          <w:rFonts w:ascii="Minion Pro" w:eastAsia="Minion Pro" w:hAnsi="Minion Pro" w:cs="Minion Pro"/>
          <w:b/>
          <w:bCs/>
          <w:color w:val="337AB7"/>
          <w:sz w:val="40"/>
          <w:szCs w:val="40"/>
        </w:rPr>
        <w:t xml:space="preserve">Prevalence of </w:t>
      </w:r>
      <w:r>
        <w:rPr>
          <w:rFonts w:ascii="Minion Pro" w:eastAsia="Minion Pro" w:hAnsi="Minion Pro" w:cs="Minion Pro"/>
          <w:b/>
          <w:bCs/>
          <w:color w:val="337AB7"/>
          <w:sz w:val="40"/>
          <w:szCs w:val="40"/>
        </w:rPr>
        <w:t>L</w:t>
      </w:r>
      <w:r w:rsidRPr="00DF4179">
        <w:rPr>
          <w:rFonts w:ascii="Minion Pro" w:eastAsia="Minion Pro" w:hAnsi="Minion Pro" w:cs="Minion Pro"/>
          <w:b/>
          <w:bCs/>
          <w:color w:val="337AB7"/>
          <w:sz w:val="40"/>
          <w:szCs w:val="40"/>
        </w:rPr>
        <w:t>ow back</w:t>
      </w:r>
      <w:r>
        <w:rPr>
          <w:rFonts w:ascii="Minion Pro" w:eastAsia="Minion Pro" w:hAnsi="Minion Pro" w:cs="Minion Pro"/>
          <w:b/>
          <w:bCs/>
          <w:color w:val="337AB7"/>
          <w:sz w:val="40"/>
          <w:szCs w:val="40"/>
        </w:rPr>
        <w:t xml:space="preserve"> P</w:t>
      </w:r>
      <w:r w:rsidRPr="00DF4179">
        <w:rPr>
          <w:rFonts w:ascii="Minion Pro" w:eastAsia="Minion Pro" w:hAnsi="Minion Pro" w:cs="Minion Pro"/>
          <w:b/>
          <w:bCs/>
          <w:color w:val="337AB7"/>
          <w:sz w:val="40"/>
          <w:szCs w:val="40"/>
        </w:rPr>
        <w:t>ain</w:t>
      </w:r>
      <w:r w:rsidRPr="00DF4179">
        <w:rPr>
          <w:rFonts w:ascii="Minion Pro" w:eastAsia="Minion Pro" w:hAnsi="Minion Pro" w:cs="Minion Pro"/>
          <w:b/>
          <w:bCs/>
          <w:color w:val="337AB7"/>
          <w:sz w:val="40"/>
          <w:szCs w:val="40"/>
        </w:rPr>
        <w:t xml:space="preserve"> </w:t>
      </w:r>
      <w:r w:rsidRPr="00DF4179">
        <w:rPr>
          <w:rFonts w:ascii="Minion Pro" w:eastAsia="Minion Pro" w:hAnsi="Minion Pro" w:cs="Minion Pro"/>
          <w:b/>
          <w:bCs/>
          <w:color w:val="337AB7"/>
          <w:sz w:val="40"/>
          <w:szCs w:val="40"/>
        </w:rPr>
        <w:t xml:space="preserve">among  </w:t>
      </w:r>
      <w:r>
        <w:rPr>
          <w:rFonts w:ascii="Minion Pro" w:eastAsia="Minion Pro" w:hAnsi="Minion Pro" w:cs="Minion Pro"/>
          <w:b/>
          <w:bCs/>
          <w:color w:val="337AB7"/>
          <w:sz w:val="40"/>
          <w:szCs w:val="40"/>
        </w:rPr>
        <w:t>F</w:t>
      </w:r>
      <w:r w:rsidRPr="00DF4179">
        <w:rPr>
          <w:rFonts w:ascii="Minion Pro" w:eastAsia="Minion Pro" w:hAnsi="Minion Pro" w:cs="Minion Pro"/>
          <w:b/>
          <w:bCs/>
          <w:color w:val="337AB7"/>
          <w:sz w:val="40"/>
          <w:szCs w:val="40"/>
        </w:rPr>
        <w:t xml:space="preserve">emale </w:t>
      </w:r>
      <w:r>
        <w:rPr>
          <w:rFonts w:ascii="Minion Pro" w:eastAsia="Minion Pro" w:hAnsi="Minion Pro" w:cs="Minion Pro"/>
          <w:b/>
          <w:bCs/>
          <w:color w:val="337AB7"/>
          <w:sz w:val="40"/>
          <w:szCs w:val="40"/>
        </w:rPr>
        <w:t>H</w:t>
      </w:r>
      <w:r w:rsidRPr="00DF4179">
        <w:rPr>
          <w:rFonts w:ascii="Minion Pro" w:eastAsia="Minion Pro" w:hAnsi="Minion Pro" w:cs="Minion Pro"/>
          <w:b/>
          <w:bCs/>
          <w:color w:val="337AB7"/>
          <w:sz w:val="40"/>
          <w:szCs w:val="40"/>
        </w:rPr>
        <w:t xml:space="preserve">ealth </w:t>
      </w:r>
      <w:r>
        <w:rPr>
          <w:rFonts w:ascii="Minion Pro" w:eastAsia="Minion Pro" w:hAnsi="Minion Pro" w:cs="Minion Pro"/>
          <w:b/>
          <w:bCs/>
          <w:color w:val="337AB7"/>
          <w:sz w:val="40"/>
          <w:szCs w:val="40"/>
        </w:rPr>
        <w:t>S</w:t>
      </w:r>
      <w:r w:rsidRPr="00DF4179">
        <w:rPr>
          <w:rFonts w:ascii="Minion Pro" w:eastAsia="Minion Pro" w:hAnsi="Minion Pro" w:cs="Minion Pro"/>
          <w:b/>
          <w:bCs/>
          <w:color w:val="337AB7"/>
          <w:sz w:val="40"/>
          <w:szCs w:val="40"/>
        </w:rPr>
        <w:t xml:space="preserve">ciences </w:t>
      </w:r>
      <w:r>
        <w:rPr>
          <w:rFonts w:ascii="Minion Pro" w:eastAsia="Minion Pro" w:hAnsi="Minion Pro" w:cs="Minion Pro"/>
          <w:b/>
          <w:bCs/>
          <w:color w:val="337AB7"/>
          <w:sz w:val="40"/>
          <w:szCs w:val="40"/>
        </w:rPr>
        <w:t>S</w:t>
      </w:r>
      <w:r w:rsidRPr="00DF4179">
        <w:rPr>
          <w:rFonts w:ascii="Minion Pro" w:eastAsia="Minion Pro" w:hAnsi="Minion Pro" w:cs="Minion Pro"/>
          <w:b/>
          <w:bCs/>
          <w:color w:val="337AB7"/>
          <w:sz w:val="40"/>
          <w:szCs w:val="40"/>
        </w:rPr>
        <w:t>tudents</w:t>
      </w:r>
    </w:p>
    <w:p w14:paraId="4AABC203" w14:textId="12EB4191" w:rsidR="0078738A" w:rsidRDefault="0014392C" w:rsidP="00DF4179">
      <w:pPr>
        <w:pStyle w:val="BodyText"/>
        <w:spacing w:before="73" w:line="198" w:lineRule="exact"/>
        <w:ind w:left="100" w:right="5987"/>
        <w:rPr>
          <w:rFonts w:ascii="Arial"/>
        </w:rPr>
      </w:pPr>
      <w:r>
        <w:rPr>
          <w:rFonts w:ascii="Arial"/>
        </w:rPr>
        <w:t>Sarah Nasser AlJasser, MBBS</w:t>
      </w:r>
    </w:p>
    <w:p w14:paraId="663F0D8C" w14:textId="41560393" w:rsidR="0014392C" w:rsidRDefault="0014392C" w:rsidP="0014392C">
      <w:pPr>
        <w:pStyle w:val="BodyText"/>
        <w:spacing w:before="73" w:line="198" w:lineRule="exact"/>
        <w:ind w:left="100" w:right="5987"/>
        <w:rPr>
          <w:rFonts w:ascii="Arial"/>
        </w:rPr>
      </w:pPr>
      <w:r w:rsidRPr="0014392C">
        <w:rPr>
          <w:rFonts w:ascii="Arial"/>
        </w:rPr>
        <w:t>Zhour ALHedyan</w:t>
      </w:r>
      <w:r w:rsidR="008A26BC">
        <w:rPr>
          <w:rFonts w:ascii="Arial"/>
        </w:rPr>
        <w:t xml:space="preserve">, MBBS </w:t>
      </w:r>
    </w:p>
    <w:p w14:paraId="282993F8" w14:textId="357776BD" w:rsidR="00343EAA" w:rsidRDefault="00343EAA" w:rsidP="00343EAA">
      <w:pPr>
        <w:pStyle w:val="BodyText"/>
        <w:spacing w:before="73" w:line="198" w:lineRule="exact"/>
        <w:ind w:left="100" w:right="5987"/>
        <w:rPr>
          <w:rFonts w:ascii="Arial"/>
        </w:rPr>
      </w:pPr>
      <w:r w:rsidRPr="00343EAA">
        <w:rPr>
          <w:rFonts w:ascii="Arial"/>
        </w:rPr>
        <w:t>Fahad ALShayhan</w:t>
      </w:r>
      <w:r>
        <w:rPr>
          <w:rFonts w:ascii="Arial"/>
        </w:rPr>
        <w:t>, MBBS</w:t>
      </w:r>
    </w:p>
    <w:p w14:paraId="3A3ECF65" w14:textId="603460CD" w:rsidR="005973B9" w:rsidRDefault="0014392C" w:rsidP="008A26BC">
      <w:pPr>
        <w:pStyle w:val="BodyText"/>
        <w:spacing w:before="73" w:line="198" w:lineRule="exact"/>
        <w:ind w:left="100" w:right="5987"/>
        <w:rPr>
          <w:rFonts w:ascii="Arial"/>
        </w:rPr>
      </w:pPr>
      <w:r>
        <w:rPr>
          <w:rFonts w:ascii="Arial"/>
        </w:rPr>
        <w:t>Dr.</w:t>
      </w:r>
      <w:r w:rsidR="008A26BC">
        <w:rPr>
          <w:rFonts w:ascii="Arial"/>
        </w:rPr>
        <w:t>Munir S</w:t>
      </w:r>
      <w:r w:rsidR="008A26BC" w:rsidRPr="008A26BC">
        <w:rPr>
          <w:rFonts w:ascii="Arial"/>
        </w:rPr>
        <w:t>aadeddin</w:t>
      </w:r>
      <w:r w:rsidR="00EF180F">
        <w:rPr>
          <w:rFonts w:ascii="Arial"/>
        </w:rPr>
        <w:t xml:space="preserve">, </w:t>
      </w:r>
      <w:r w:rsidR="00714F9E">
        <w:rPr>
          <w:rFonts w:ascii="Arial"/>
        </w:rPr>
        <w:t xml:space="preserve">Associate Professor and Orthopedic Consultant </w:t>
      </w:r>
      <w:bookmarkStart w:id="0" w:name="_GoBack"/>
      <w:bookmarkEnd w:id="0"/>
    </w:p>
    <w:p w14:paraId="17AA752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15D89B4" w14:textId="3FF231E2" w:rsidR="00AE3E37" w:rsidRDefault="00A9710C" w:rsidP="00714F9E">
      <w:pPr>
        <w:pStyle w:val="Heading3"/>
        <w:spacing w:before="147"/>
        <w:ind w:left="0"/>
        <w:jc w:val="both"/>
        <w:rPr>
          <w:color w:val="BF5A14"/>
        </w:rPr>
      </w:pPr>
      <w:r>
        <w:rPr>
          <w:color w:val="BF5A14"/>
        </w:rPr>
        <w:t>Abstract</w:t>
      </w:r>
      <w:r w:rsidR="00404E5B">
        <w:rPr>
          <w:color w:val="BF5A14"/>
        </w:rPr>
        <w:t xml:space="preserve"> (300 word limit)</w:t>
      </w:r>
    </w:p>
    <w:p w14:paraId="5B7FF010" w14:textId="3D846B12" w:rsidR="00401B61" w:rsidRDefault="005E6B52" w:rsidP="00EC794B">
      <w:pPr>
        <w:pStyle w:val="Heading3"/>
        <w:spacing w:before="147"/>
        <w:jc w:val="both"/>
        <w:rPr>
          <w:rFonts w:asciiTheme="majorHAnsi" w:hAnsiTheme="majorHAnsi"/>
          <w:b w:val="0"/>
          <w:bCs w:val="0"/>
        </w:rPr>
      </w:pPr>
      <w:r w:rsidRPr="00DF4179">
        <w:rPr>
          <w:rFonts w:asciiTheme="majorHAnsi" w:hAnsiTheme="majorHAnsi"/>
          <w:b w:val="0"/>
          <w:bCs w:val="0"/>
        </w:rPr>
        <w:t xml:space="preserve"> </w:t>
      </w:r>
      <w:r w:rsidR="00DF4179" w:rsidRPr="00DF4179">
        <w:rPr>
          <w:rFonts w:asciiTheme="majorHAnsi" w:hAnsiTheme="majorHAnsi"/>
          <w:b w:val="0"/>
          <w:bCs w:val="0"/>
        </w:rPr>
        <w:t>Low back pain (LBP) is a physical and economical dilemma that individuals</w:t>
      </w:r>
      <w:r w:rsidR="00DF4179" w:rsidRPr="00DF4179">
        <w:rPr>
          <w:rFonts w:asciiTheme="majorHAnsi" w:hAnsiTheme="majorHAnsi"/>
          <w:b w:val="0"/>
          <w:bCs w:val="0"/>
        </w:rPr>
        <w:t xml:space="preserve"> </w:t>
      </w:r>
      <w:r w:rsidR="00DF4179" w:rsidRPr="00DF4179">
        <w:rPr>
          <w:rFonts w:asciiTheme="majorHAnsi" w:hAnsiTheme="majorHAnsi"/>
          <w:b w:val="0"/>
          <w:bCs w:val="0"/>
        </w:rPr>
        <w:t>from all age groups encounter. Interestingly, LBP was considered as the leading cause of years lived with disability globally [1]. A meta-analysis of the prevalence of</w:t>
      </w:r>
      <w:r w:rsidR="00DF4179" w:rsidRPr="00DF4179">
        <w:rPr>
          <w:rFonts w:asciiTheme="majorHAnsi" w:hAnsiTheme="majorHAnsi"/>
          <w:b w:val="0"/>
          <w:bCs w:val="0"/>
        </w:rPr>
        <w:t xml:space="preserve"> </w:t>
      </w:r>
      <w:r w:rsidR="00DF4179" w:rsidRPr="00DF4179">
        <w:rPr>
          <w:rFonts w:asciiTheme="majorHAnsi" w:hAnsiTheme="majorHAnsi"/>
          <w:b w:val="0"/>
          <w:bCs w:val="0"/>
        </w:rPr>
        <w:t>low back pain in adolescents revealed that the mean lifetime prevalence was 39.9% [2].</w:t>
      </w:r>
      <w:r w:rsidR="00381CF6">
        <w:rPr>
          <w:rFonts w:asciiTheme="majorHAnsi" w:hAnsiTheme="majorHAnsi"/>
          <w:b w:val="0"/>
          <w:bCs w:val="0"/>
        </w:rPr>
        <w:t xml:space="preserve"> </w:t>
      </w:r>
      <w:r w:rsidR="00080305" w:rsidRPr="00080305">
        <w:rPr>
          <w:rFonts w:asciiTheme="majorHAnsi" w:eastAsia="MS Mincho" w:hAnsiTheme="majorHAnsi" w:cs="Times New Roman"/>
          <w:b w:val="0"/>
          <w:bCs w:val="0"/>
        </w:rPr>
        <w:t>Anderrson defined LBP as pain restricted to the area between the lower borders of the 12</w:t>
      </w:r>
      <w:r w:rsidR="00080305" w:rsidRPr="00080305">
        <w:rPr>
          <w:rFonts w:asciiTheme="majorHAnsi" w:eastAsia="MS Mincho" w:hAnsiTheme="majorHAnsi" w:cs="Times New Roman"/>
          <w:b w:val="0"/>
          <w:bCs w:val="0"/>
          <w:vertAlign w:val="superscript"/>
        </w:rPr>
        <w:t>th</w:t>
      </w:r>
      <w:r w:rsidR="00080305" w:rsidRPr="00080305">
        <w:rPr>
          <w:rFonts w:asciiTheme="majorHAnsi" w:eastAsia="MS Mincho" w:hAnsiTheme="majorHAnsi" w:cs="Times New Roman"/>
          <w:b w:val="0"/>
          <w:bCs w:val="0"/>
        </w:rPr>
        <w:t xml:space="preserve"> rib and gluteal folds </w:t>
      </w:r>
      <w:r w:rsidR="00080305" w:rsidRPr="00080305">
        <w:rPr>
          <w:rFonts w:asciiTheme="majorHAnsi" w:eastAsia="MS Mincho" w:hAnsiTheme="majorHAnsi" w:cs="Times New Roman"/>
          <w:b w:val="0"/>
          <w:bCs w:val="0"/>
        </w:rPr>
        <w:fldChar w:fldCharType="begin"/>
      </w:r>
      <w:r w:rsidR="00080305" w:rsidRPr="00080305">
        <w:rPr>
          <w:rFonts w:asciiTheme="majorHAnsi" w:eastAsia="MS Mincho" w:hAnsiTheme="majorHAnsi" w:cs="Times New Roman"/>
          <w:b w:val="0"/>
          <w:bCs w:val="0"/>
        </w:rPr>
        <w:instrText xml:space="preserve"> ADDIN EN.CITE &lt;EndNote&gt;&lt;Cite&gt;&lt;Author&gt;Anderson&lt;/Author&gt;&lt;Year&gt;1977&lt;/Year&gt;&lt;RecNum&gt;5&lt;/RecNum&gt;&lt;DisplayText&gt;[3]&lt;/DisplayText&gt;&lt;record&gt;&lt;rec-number&gt;5&lt;/rec-number&gt;&lt;foreign-keys&gt;&lt;key app="EN" db-id="z922xd0em9w0wvez0dnxwvthxwtartvzwras"&gt;5&lt;/key&gt;&lt;/foreign-keys&gt;&lt;ref-type name="Journal Article"&gt;17&lt;/ref-type&gt;&lt;contributors&gt;&lt;authors&gt;&lt;author&gt;Anderson, J. A.&lt;/author&gt;&lt;/authors&gt;&lt;/contributors&gt;&lt;titles&gt;&lt;title&gt;Problems of classification of low-back pain&lt;/title&gt;&lt;secondary-title&gt;Rheumatol Rehabil&lt;/secondary-title&gt;&lt;alt-title&gt;Rheumatology and rehabilitation&lt;/alt-title&gt;&lt;/titles&gt;&lt;periodical&gt;&lt;full-title&gt;Rheumatol Rehabil&lt;/full-title&gt;&lt;abbr-1&gt;Rheumatology and rehabilitation&lt;/abbr-1&gt;&lt;/periodical&gt;&lt;alt-periodical&gt;&lt;full-title&gt;Rheumatol Rehabil&lt;/full-title&gt;&lt;abbr-1&gt;Rheumatology and rehabilitation&lt;/abbr-1&gt;&lt;/alt-periodical&gt;&lt;pages&gt;34-6&lt;/pages&gt;&lt;volume&gt;16&lt;/volume&gt;&lt;number&gt;1&lt;/number&gt;&lt;keywords&gt;&lt;keyword&gt;Back/innervation/pathology&lt;/keyword&gt;&lt;keyword&gt;Back Pain/*classification/diagnosis/pathology&lt;/keyword&gt;&lt;keyword&gt;Humans&lt;/keyword&gt;&lt;keyword&gt;Syndrome&lt;/keyword&gt;&lt;/keywords&gt;&lt;dates&gt;&lt;year&gt;1977&lt;/year&gt;&lt;pub-dates&gt;&lt;date&gt;Feb&lt;/date&gt;&lt;/pub-dates&gt;&lt;/dates&gt;&lt;isbn&gt;0300-3396 (Print)&amp;#xD;0300-3396 (Linking)&lt;/isbn&gt;&lt;accession-num&gt;139668&lt;/accession-num&gt;&lt;urls&gt;&lt;related-urls&gt;&lt;url&gt;http://www.ncbi.nlm.nih.gov/pubmed/139668&lt;/url&gt;&lt;/related-urls&gt;&lt;/urls&gt;&lt;/record&gt;&lt;/Cite&gt;&lt;/EndNote&gt;</w:instrText>
      </w:r>
      <w:r w:rsidR="00080305" w:rsidRPr="00080305">
        <w:rPr>
          <w:rFonts w:asciiTheme="majorHAnsi" w:eastAsia="MS Mincho" w:hAnsiTheme="majorHAnsi" w:cs="Times New Roman"/>
          <w:b w:val="0"/>
          <w:bCs w:val="0"/>
        </w:rPr>
        <w:fldChar w:fldCharType="separate"/>
      </w:r>
      <w:r w:rsidR="00080305" w:rsidRPr="00080305">
        <w:rPr>
          <w:rFonts w:asciiTheme="majorHAnsi" w:eastAsia="MS Mincho" w:hAnsiTheme="majorHAnsi" w:cs="Times New Roman"/>
          <w:b w:val="0"/>
          <w:bCs w:val="0"/>
          <w:noProof/>
        </w:rPr>
        <w:t>[</w:t>
      </w:r>
      <w:hyperlink w:anchor="_ENREF_3" w:tooltip="Anderson, 1977 #5" w:history="1">
        <w:r w:rsidR="00080305" w:rsidRPr="00080305">
          <w:rPr>
            <w:rFonts w:asciiTheme="majorHAnsi" w:eastAsia="MS Mincho" w:hAnsiTheme="majorHAnsi" w:cs="Times New Roman"/>
            <w:b w:val="0"/>
            <w:bCs w:val="0"/>
            <w:noProof/>
          </w:rPr>
          <w:t>3</w:t>
        </w:r>
      </w:hyperlink>
      <w:r w:rsidR="00080305" w:rsidRPr="00080305">
        <w:rPr>
          <w:rFonts w:asciiTheme="majorHAnsi" w:eastAsia="MS Mincho" w:hAnsiTheme="majorHAnsi" w:cs="Times New Roman"/>
          <w:b w:val="0"/>
          <w:bCs w:val="0"/>
          <w:noProof/>
        </w:rPr>
        <w:t>]</w:t>
      </w:r>
      <w:r w:rsidR="00080305" w:rsidRPr="00080305">
        <w:rPr>
          <w:rFonts w:asciiTheme="majorHAnsi" w:eastAsia="MS Mincho" w:hAnsiTheme="majorHAnsi" w:cs="Times New Roman"/>
          <w:b w:val="0"/>
          <w:bCs w:val="0"/>
        </w:rPr>
        <w:fldChar w:fldCharType="end"/>
      </w:r>
      <w:r w:rsidR="00EC794B">
        <w:rPr>
          <w:rFonts w:asciiTheme="majorHAnsi" w:hAnsiTheme="majorHAnsi"/>
          <w:b w:val="0"/>
          <w:bCs w:val="0"/>
        </w:rPr>
        <w:t>. T</w:t>
      </w:r>
      <w:r w:rsidR="00DF4179" w:rsidRPr="00DF4179">
        <w:rPr>
          <w:rFonts w:asciiTheme="majorHAnsi" w:hAnsiTheme="majorHAnsi"/>
          <w:b w:val="0"/>
          <w:bCs w:val="0"/>
        </w:rPr>
        <w:t>he commonest variety of back pain is LBP, arising in 60-80% of people at a certain point in their lives [</w:t>
      </w:r>
      <w:r w:rsidR="00080305">
        <w:rPr>
          <w:rFonts w:asciiTheme="majorHAnsi" w:hAnsiTheme="majorHAnsi"/>
          <w:b w:val="0"/>
          <w:bCs w:val="0"/>
        </w:rPr>
        <w:t>4]</w:t>
      </w:r>
      <w:r w:rsidR="00DF4179" w:rsidRPr="00DF4179">
        <w:rPr>
          <w:rFonts w:asciiTheme="majorHAnsi" w:hAnsiTheme="majorHAnsi"/>
          <w:b w:val="0"/>
          <w:bCs w:val="0"/>
        </w:rPr>
        <w:t>.</w:t>
      </w:r>
      <w:r w:rsidR="00DF4179">
        <w:rPr>
          <w:rFonts w:asciiTheme="majorHAnsi" w:hAnsiTheme="majorHAnsi"/>
          <w:b w:val="0"/>
          <w:bCs w:val="0"/>
        </w:rPr>
        <w:t xml:space="preserve"> </w:t>
      </w:r>
    </w:p>
    <w:p w14:paraId="18B6A218" w14:textId="63767B20" w:rsidR="00DF4179" w:rsidRDefault="00DF4179" w:rsidP="00401B61">
      <w:pPr>
        <w:pStyle w:val="Heading3"/>
        <w:spacing w:before="147"/>
        <w:jc w:val="both"/>
        <w:rPr>
          <w:rFonts w:asciiTheme="majorHAnsi" w:hAnsiTheme="majorHAnsi"/>
          <w:b w:val="0"/>
          <w:bCs w:val="0"/>
        </w:rPr>
      </w:pPr>
      <w:r w:rsidRPr="00DF4179">
        <w:rPr>
          <w:rFonts w:asciiTheme="majorHAnsi" w:hAnsiTheme="majorHAnsi"/>
        </w:rPr>
        <w:t>Methodology</w:t>
      </w:r>
      <w:r>
        <w:rPr>
          <w:rFonts w:asciiTheme="majorHAnsi" w:hAnsiTheme="majorHAnsi"/>
        </w:rPr>
        <w:t>:</w:t>
      </w:r>
      <w:r w:rsidR="001D2160">
        <w:rPr>
          <w:rFonts w:asciiTheme="majorHAnsi" w:hAnsiTheme="majorHAnsi"/>
        </w:rPr>
        <w:t xml:space="preserve"> </w:t>
      </w:r>
      <w:r w:rsidR="001D2160" w:rsidRPr="001D2160">
        <w:rPr>
          <w:rFonts w:asciiTheme="majorHAnsi" w:hAnsiTheme="majorHAnsi"/>
          <w:b w:val="0"/>
          <w:bCs w:val="0"/>
        </w:rPr>
        <w:t>A</w:t>
      </w:r>
      <w:r w:rsidR="001D2160">
        <w:rPr>
          <w:rFonts w:asciiTheme="majorHAnsi" w:hAnsiTheme="majorHAnsi"/>
        </w:rPr>
        <w:t xml:space="preserve"> </w:t>
      </w:r>
      <w:r w:rsidRPr="00DF4179">
        <w:rPr>
          <w:rFonts w:asciiTheme="majorHAnsi" w:hAnsiTheme="majorHAnsi"/>
          <w:b w:val="0"/>
          <w:bCs w:val="0"/>
        </w:rPr>
        <w:t xml:space="preserve">Quantitative </w:t>
      </w:r>
      <w:r w:rsidR="005E6B52">
        <w:rPr>
          <w:rFonts w:asciiTheme="majorHAnsi" w:hAnsiTheme="majorHAnsi"/>
          <w:b w:val="0"/>
          <w:bCs w:val="0"/>
        </w:rPr>
        <w:t>c</w:t>
      </w:r>
      <w:r w:rsidRPr="00DF4179">
        <w:rPr>
          <w:rFonts w:asciiTheme="majorHAnsi" w:hAnsiTheme="majorHAnsi"/>
          <w:b w:val="0"/>
          <w:bCs w:val="0"/>
        </w:rPr>
        <w:t>ross-sectional study was conducted among seven hundred and forty-seven female undergraduates from</w:t>
      </w:r>
      <w:r w:rsidR="00511DEF">
        <w:rPr>
          <w:rFonts w:asciiTheme="majorHAnsi" w:hAnsiTheme="majorHAnsi"/>
          <w:b w:val="0"/>
          <w:bCs w:val="0"/>
        </w:rPr>
        <w:t xml:space="preserve"> </w:t>
      </w:r>
      <w:r w:rsidRPr="00DF4179">
        <w:rPr>
          <w:rFonts w:asciiTheme="majorHAnsi" w:hAnsiTheme="majorHAnsi"/>
          <w:b w:val="0"/>
          <w:bCs w:val="0"/>
        </w:rPr>
        <w:t>five health</w:t>
      </w:r>
      <w:r w:rsidR="00511DEF">
        <w:rPr>
          <w:rFonts w:asciiTheme="majorHAnsi" w:hAnsiTheme="majorHAnsi"/>
          <w:b w:val="0"/>
          <w:bCs w:val="0"/>
        </w:rPr>
        <w:t>-</w:t>
      </w:r>
      <w:r w:rsidRPr="00DF4179">
        <w:rPr>
          <w:rFonts w:asciiTheme="majorHAnsi" w:hAnsiTheme="majorHAnsi"/>
          <w:b w:val="0"/>
          <w:bCs w:val="0"/>
        </w:rPr>
        <w:t>sciences colleges during the</w:t>
      </w:r>
      <w:r w:rsidR="00511DEF">
        <w:rPr>
          <w:rFonts w:asciiTheme="majorHAnsi" w:hAnsiTheme="majorHAnsi"/>
          <w:b w:val="0"/>
          <w:bCs w:val="0"/>
        </w:rPr>
        <w:t xml:space="preserve"> </w:t>
      </w:r>
      <w:r w:rsidRPr="00DF4179">
        <w:rPr>
          <w:rFonts w:asciiTheme="majorHAnsi" w:hAnsiTheme="majorHAnsi"/>
          <w:b w:val="0"/>
          <w:bCs w:val="0"/>
        </w:rPr>
        <w:t>academic year 2016-2017. Self-administered questionnaire was</w:t>
      </w:r>
      <w:r w:rsidR="00511DEF">
        <w:rPr>
          <w:rFonts w:asciiTheme="majorHAnsi" w:hAnsiTheme="majorHAnsi"/>
          <w:b w:val="0"/>
          <w:bCs w:val="0"/>
        </w:rPr>
        <w:t xml:space="preserve"> </w:t>
      </w:r>
      <w:r w:rsidRPr="00DF4179">
        <w:rPr>
          <w:rFonts w:asciiTheme="majorHAnsi" w:hAnsiTheme="majorHAnsi"/>
          <w:b w:val="0"/>
          <w:bCs w:val="0"/>
        </w:rPr>
        <w:t>conducted and included 4 sections: demographic characteristics,</w:t>
      </w:r>
      <w:r w:rsidR="00511DEF">
        <w:rPr>
          <w:rFonts w:asciiTheme="majorHAnsi" w:hAnsiTheme="majorHAnsi"/>
          <w:b w:val="0"/>
          <w:bCs w:val="0"/>
        </w:rPr>
        <w:t xml:space="preserve"> </w:t>
      </w:r>
      <w:r w:rsidRPr="00DF4179">
        <w:rPr>
          <w:rFonts w:asciiTheme="majorHAnsi" w:hAnsiTheme="majorHAnsi"/>
          <w:b w:val="0"/>
          <w:bCs w:val="0"/>
        </w:rPr>
        <w:t>risk</w:t>
      </w:r>
      <w:r w:rsidR="00511DEF">
        <w:rPr>
          <w:rFonts w:asciiTheme="majorHAnsi" w:hAnsiTheme="majorHAnsi"/>
          <w:b w:val="0"/>
          <w:bCs w:val="0"/>
        </w:rPr>
        <w:t xml:space="preserve"> </w:t>
      </w:r>
      <w:r w:rsidRPr="00DF4179">
        <w:rPr>
          <w:rFonts w:asciiTheme="majorHAnsi" w:hAnsiTheme="majorHAnsi"/>
          <w:b w:val="0"/>
          <w:bCs w:val="0"/>
        </w:rPr>
        <w:t>factors, Nordic Musculoskeletal  questionnaire and Oswestry Disability Scale</w:t>
      </w:r>
      <w:r w:rsidR="00BF6AF1">
        <w:rPr>
          <w:rFonts w:asciiTheme="majorHAnsi" w:hAnsiTheme="majorHAnsi"/>
          <w:b w:val="0"/>
          <w:bCs w:val="0"/>
        </w:rPr>
        <w:t>.</w:t>
      </w:r>
      <w:r w:rsidR="00CD2F4C">
        <w:rPr>
          <w:rFonts w:asciiTheme="majorHAnsi" w:hAnsiTheme="majorHAnsi"/>
          <w:b w:val="0"/>
          <w:bCs w:val="0"/>
        </w:rPr>
        <w:t xml:space="preserve"> </w:t>
      </w:r>
      <w:r w:rsidR="000A7E2F">
        <w:rPr>
          <w:rFonts w:asciiTheme="majorHAnsi" w:hAnsiTheme="majorHAnsi"/>
          <w:b w:val="0"/>
          <w:bCs w:val="0"/>
        </w:rPr>
        <w:t>[5,6]</w:t>
      </w:r>
    </w:p>
    <w:p w14:paraId="45DDAE20" w14:textId="382FE90B" w:rsidR="002C46E9" w:rsidRDefault="00CD2F4C" w:rsidP="00401B61">
      <w:pPr>
        <w:pStyle w:val="Heading3"/>
        <w:spacing w:before="147"/>
        <w:jc w:val="both"/>
        <w:rPr>
          <w:rFonts w:asciiTheme="majorHAnsi" w:hAnsiTheme="majorHAnsi"/>
          <w:b w:val="0"/>
          <w:bCs w:val="0"/>
        </w:rPr>
      </w:pPr>
      <w:r>
        <w:rPr>
          <w:rFonts w:asciiTheme="majorHAnsi" w:hAnsiTheme="majorHAnsi"/>
        </w:rPr>
        <w:t>Results:</w:t>
      </w:r>
      <w:r>
        <w:rPr>
          <w:rFonts w:asciiTheme="majorHAnsi" w:hAnsiTheme="majorHAnsi"/>
          <w:b w:val="0"/>
          <w:bCs w:val="0"/>
        </w:rPr>
        <w:t xml:space="preserve"> </w:t>
      </w:r>
      <w:r w:rsidRPr="00CD2F4C">
        <w:rPr>
          <w:rFonts w:asciiTheme="majorHAnsi" w:hAnsiTheme="majorHAnsi"/>
          <w:b w:val="0"/>
          <w:bCs w:val="0"/>
        </w:rPr>
        <w:t xml:space="preserve">Mean age of participants 20.3 ± (1.5 years). 35.8% of students where physically active. </w:t>
      </w:r>
      <w:r w:rsidR="005E6B52">
        <w:rPr>
          <w:rFonts w:asciiTheme="majorHAnsi" w:hAnsiTheme="majorHAnsi"/>
          <w:b w:val="0"/>
          <w:bCs w:val="0"/>
        </w:rPr>
        <w:t>L</w:t>
      </w:r>
      <w:r w:rsidRPr="00CD2F4C">
        <w:rPr>
          <w:rFonts w:asciiTheme="majorHAnsi" w:hAnsiTheme="majorHAnsi"/>
          <w:b w:val="0"/>
          <w:bCs w:val="0"/>
        </w:rPr>
        <w:t>ifetime prevalence of LBP among female health science undergraduates was 53.1%, 12-months prevalence was 47.4%, and point prevalence was 21.6%. Medical college students reported significantly higher lifetime prevalence (64.3%). Physical activity was not associated with point prevalence of LBP. BMI of more than 25 was associated insignificantly with increased risk of LBP</w:t>
      </w:r>
      <w:r>
        <w:rPr>
          <w:rFonts w:asciiTheme="majorHAnsi" w:hAnsiTheme="majorHAnsi"/>
          <w:b w:val="0"/>
          <w:bCs w:val="0"/>
        </w:rPr>
        <w:t xml:space="preserve"> </w:t>
      </w:r>
      <w:r w:rsidRPr="00CD2F4C">
        <w:rPr>
          <w:rFonts w:asciiTheme="majorHAnsi" w:hAnsiTheme="majorHAnsi"/>
          <w:b w:val="0"/>
          <w:bCs w:val="0"/>
        </w:rPr>
        <w:t>(OR 1.13%; CI 95% 0.74-1,73; p=0.568</w:t>
      </w:r>
      <w:r w:rsidR="00401B61">
        <w:rPr>
          <w:rFonts w:asciiTheme="majorHAnsi" w:hAnsiTheme="majorHAnsi"/>
          <w:b w:val="0"/>
          <w:bCs w:val="0"/>
        </w:rPr>
        <w:t>.</w:t>
      </w:r>
      <w:r w:rsidR="002C46E9" w:rsidRPr="002C46E9">
        <w:rPr>
          <w:rFonts w:asciiTheme="majorHAnsi" w:hAnsiTheme="majorHAnsi"/>
          <w:b w:val="0"/>
          <w:bCs w:val="0"/>
        </w:rPr>
        <w:t xml:space="preserve"> Feeling discomfort on bed was significantly associated with LBP (OR 2.49; 95%CI 1.74-3.65; p=</w:t>
      </w:r>
      <w:r w:rsidR="002C46E9" w:rsidRPr="002C46E9">
        <w:rPr>
          <w:rFonts w:asciiTheme="majorHAnsi" w:hAnsiTheme="majorHAnsi"/>
          <w:b w:val="0"/>
          <w:bCs w:val="0"/>
          <w:lang w:val="x-none"/>
        </w:rPr>
        <w:t>&gt;</w:t>
      </w:r>
      <w:r w:rsidR="002C46E9" w:rsidRPr="002C46E9">
        <w:rPr>
          <w:rFonts w:asciiTheme="majorHAnsi" w:hAnsiTheme="majorHAnsi"/>
          <w:b w:val="0"/>
          <w:bCs w:val="0"/>
        </w:rPr>
        <w:t xml:space="preserve"> 0.001) Setting on comfortable college furniture was significantly related to decreased risk of LBP (OR 0.56%;95%CI 0.38-0.82; p= 0.003). Psychological factors such as being overwhelmed and feeling sad were associated with LBP. According to Oswestry disability scale, majority of students who have LBP are having minimal disability due to LBP.</w:t>
      </w:r>
    </w:p>
    <w:p w14:paraId="38C6C7C8" w14:textId="0982FA29" w:rsidR="002C46E9" w:rsidRPr="00CD2F4C" w:rsidRDefault="00401B61" w:rsidP="00401B61">
      <w:pPr>
        <w:pStyle w:val="Heading3"/>
        <w:spacing w:before="147"/>
        <w:jc w:val="both"/>
        <w:rPr>
          <w:rFonts w:asciiTheme="majorHAnsi" w:hAnsiTheme="majorHAnsi"/>
          <w:b w:val="0"/>
          <w:bCs w:val="0"/>
        </w:rPr>
      </w:pPr>
      <w:r>
        <w:rPr>
          <w:rFonts w:asciiTheme="majorHAnsi" w:hAnsiTheme="majorHAnsi"/>
        </w:rPr>
        <w:t xml:space="preserve">Conclusion: </w:t>
      </w:r>
      <w:r w:rsidRPr="00401B61">
        <w:rPr>
          <w:rFonts w:asciiTheme="majorHAnsi" w:hAnsiTheme="majorHAnsi"/>
          <w:b w:val="0"/>
          <w:bCs w:val="0"/>
        </w:rPr>
        <w:t xml:space="preserve">This </w:t>
      </w:r>
      <w:r>
        <w:rPr>
          <w:rFonts w:asciiTheme="majorHAnsi" w:hAnsiTheme="majorHAnsi"/>
          <w:b w:val="0"/>
          <w:bCs w:val="0"/>
        </w:rPr>
        <w:t>s</w:t>
      </w:r>
      <w:r w:rsidRPr="00401B61">
        <w:rPr>
          <w:rFonts w:asciiTheme="majorHAnsi" w:hAnsiTheme="majorHAnsi"/>
          <w:b w:val="0"/>
          <w:bCs w:val="0"/>
        </w:rPr>
        <w:t>tudy ha</w:t>
      </w:r>
      <w:r>
        <w:rPr>
          <w:rFonts w:asciiTheme="majorHAnsi" w:hAnsiTheme="majorHAnsi"/>
          <w:b w:val="0"/>
          <w:bCs w:val="0"/>
        </w:rPr>
        <w:t>s</w:t>
      </w:r>
      <w:r w:rsidRPr="00401B61">
        <w:rPr>
          <w:rFonts w:asciiTheme="majorHAnsi" w:hAnsiTheme="majorHAnsi"/>
          <w:b w:val="0"/>
          <w:bCs w:val="0"/>
        </w:rPr>
        <w:t xml:space="preserve"> shown high prevalence of LBP among future health care providers. Female medical students are at higher risk for developing LBP in comparison to other health science students. </w:t>
      </w:r>
    </w:p>
    <w:p w14:paraId="2393F88D" w14:textId="1926F230" w:rsidR="00CD2F4C" w:rsidRPr="00DF4179" w:rsidRDefault="00CD2F4C" w:rsidP="00511DEF">
      <w:pPr>
        <w:pStyle w:val="Heading3"/>
        <w:spacing w:before="147"/>
        <w:jc w:val="both"/>
        <w:rPr>
          <w:rFonts w:asciiTheme="majorHAnsi" w:hAnsiTheme="majorHAnsi"/>
          <w:b w:val="0"/>
          <w:bCs w:val="0"/>
        </w:rPr>
      </w:pPr>
    </w:p>
    <w:p w14:paraId="3364A6F2" w14:textId="3686B6FE" w:rsidR="00AE3E37" w:rsidRDefault="00A9710C">
      <w:pPr>
        <w:pStyle w:val="Heading3"/>
        <w:spacing w:before="74"/>
        <w:rPr>
          <w:color w:val="BF5A14"/>
        </w:rPr>
      </w:pPr>
      <w:r>
        <w:rPr>
          <w:b w:val="0"/>
        </w:rPr>
        <w:br w:type="column"/>
      </w:r>
      <w:r>
        <w:rPr>
          <w:color w:val="BF5A14"/>
        </w:rPr>
        <w:t>Image</w:t>
      </w:r>
    </w:p>
    <w:p w14:paraId="6926FD05" w14:textId="77777777" w:rsidR="00253F74" w:rsidRDefault="00253F74">
      <w:pPr>
        <w:pStyle w:val="Heading3"/>
        <w:spacing w:before="74"/>
      </w:pPr>
    </w:p>
    <w:tbl>
      <w:tblPr>
        <w:tblpPr w:leftFromText="180" w:rightFromText="180" w:vertAnchor="text" w:horzAnchor="margin" w:tblpXSpec="right" w:tblpY="129"/>
        <w:tblW w:w="4480" w:type="dxa"/>
        <w:tblCellMar>
          <w:left w:w="0" w:type="dxa"/>
          <w:right w:w="0" w:type="dxa"/>
        </w:tblCellMar>
        <w:tblLook w:val="04A0" w:firstRow="1" w:lastRow="0" w:firstColumn="1" w:lastColumn="0" w:noHBand="0" w:noVBand="1"/>
      </w:tblPr>
      <w:tblGrid>
        <w:gridCol w:w="1156"/>
        <w:gridCol w:w="1084"/>
        <w:gridCol w:w="1405"/>
        <w:gridCol w:w="835"/>
      </w:tblGrid>
      <w:tr w:rsidR="001D28DB" w:rsidRPr="005E6B52" w14:paraId="0F9FA463" w14:textId="77777777" w:rsidTr="001D28DB">
        <w:trPr>
          <w:trHeight w:val="415"/>
        </w:trPr>
        <w:tc>
          <w:tcPr>
            <w:tcW w:w="2240" w:type="dxa"/>
            <w:gridSpan w:val="2"/>
            <w:tcBorders>
              <w:top w:val="single" w:sz="8" w:space="0" w:color="70AD47"/>
              <w:left w:val="single" w:sz="8" w:space="0" w:color="70AD47"/>
              <w:bottom w:val="single" w:sz="18" w:space="0" w:color="70AD47"/>
              <w:right w:val="single" w:sz="8" w:space="0" w:color="70AD47"/>
            </w:tcBorders>
            <w:shd w:val="clear" w:color="auto" w:fill="C5E0B4"/>
            <w:tcMar>
              <w:top w:w="15" w:type="dxa"/>
              <w:left w:w="108" w:type="dxa"/>
              <w:bottom w:w="0" w:type="dxa"/>
              <w:right w:w="108" w:type="dxa"/>
            </w:tcMar>
            <w:hideMark/>
          </w:tcPr>
          <w:p w14:paraId="28BF7096" w14:textId="6B1FD9D0" w:rsidR="001D28DB" w:rsidRPr="005E6B52" w:rsidRDefault="001D28DB" w:rsidP="001D28DB">
            <w:pPr>
              <w:pStyle w:val="BodyText"/>
              <w:spacing w:before="2"/>
              <w:rPr>
                <w:rFonts w:ascii="Arial"/>
                <w:b/>
                <w:sz w:val="16"/>
              </w:rPr>
            </w:pPr>
          </w:p>
        </w:tc>
        <w:tc>
          <w:tcPr>
            <w:tcW w:w="1405" w:type="dxa"/>
            <w:tcBorders>
              <w:top w:val="single" w:sz="8" w:space="0" w:color="70AD47"/>
              <w:left w:val="single" w:sz="8" w:space="0" w:color="70AD47"/>
              <w:bottom w:val="single" w:sz="18" w:space="0" w:color="70AD47"/>
              <w:right w:val="single" w:sz="8" w:space="0" w:color="70AD47"/>
            </w:tcBorders>
            <w:shd w:val="clear" w:color="auto" w:fill="C5E0B4"/>
            <w:tcMar>
              <w:top w:w="15" w:type="dxa"/>
              <w:left w:w="108" w:type="dxa"/>
              <w:bottom w:w="0" w:type="dxa"/>
              <w:right w:w="108" w:type="dxa"/>
            </w:tcMar>
            <w:hideMark/>
          </w:tcPr>
          <w:p w14:paraId="534EF14C" w14:textId="77777777" w:rsidR="001D28DB" w:rsidRPr="005E6B52" w:rsidRDefault="001D28DB" w:rsidP="001D28DB">
            <w:pPr>
              <w:pStyle w:val="BodyText"/>
              <w:spacing w:before="2"/>
              <w:rPr>
                <w:rFonts w:ascii="Arial"/>
                <w:b/>
                <w:sz w:val="16"/>
              </w:rPr>
            </w:pPr>
            <w:r w:rsidRPr="005E6B52">
              <w:rPr>
                <w:rFonts w:ascii="Arial"/>
                <w:b/>
                <w:bCs/>
                <w:sz w:val="16"/>
              </w:rPr>
              <w:t>Point prevalence of LBP (%)</w:t>
            </w:r>
          </w:p>
        </w:tc>
        <w:tc>
          <w:tcPr>
            <w:tcW w:w="835" w:type="dxa"/>
            <w:tcBorders>
              <w:top w:val="single" w:sz="8" w:space="0" w:color="70AD47"/>
              <w:left w:val="single" w:sz="8" w:space="0" w:color="70AD47"/>
              <w:bottom w:val="single" w:sz="18" w:space="0" w:color="70AD47"/>
              <w:right w:val="single" w:sz="8" w:space="0" w:color="70AD47"/>
            </w:tcBorders>
            <w:shd w:val="clear" w:color="auto" w:fill="C5E0B4"/>
            <w:tcMar>
              <w:top w:w="15" w:type="dxa"/>
              <w:left w:w="108" w:type="dxa"/>
              <w:bottom w:w="0" w:type="dxa"/>
              <w:right w:w="108" w:type="dxa"/>
            </w:tcMar>
            <w:hideMark/>
          </w:tcPr>
          <w:p w14:paraId="168BE367" w14:textId="77777777" w:rsidR="001D28DB" w:rsidRPr="005E6B52" w:rsidRDefault="001D28DB" w:rsidP="001D28DB">
            <w:pPr>
              <w:pStyle w:val="BodyText"/>
              <w:spacing w:before="2"/>
              <w:rPr>
                <w:rFonts w:ascii="Arial"/>
                <w:b/>
                <w:sz w:val="16"/>
              </w:rPr>
            </w:pPr>
            <w:r w:rsidRPr="005E6B52">
              <w:rPr>
                <w:rFonts w:ascii="Arial"/>
                <w:b/>
                <w:bCs/>
                <w:sz w:val="16"/>
              </w:rPr>
              <w:t>P-value</w:t>
            </w:r>
          </w:p>
        </w:tc>
      </w:tr>
      <w:tr w:rsidR="001D28DB" w:rsidRPr="005E6B52" w14:paraId="4DFA9ACD" w14:textId="77777777" w:rsidTr="001D28DB">
        <w:trPr>
          <w:trHeight w:val="202"/>
        </w:trPr>
        <w:tc>
          <w:tcPr>
            <w:tcW w:w="1156" w:type="dxa"/>
            <w:vMerge w:val="restart"/>
            <w:tcBorders>
              <w:top w:val="single" w:sz="18" w:space="0" w:color="70AD47"/>
              <w:left w:val="single" w:sz="8" w:space="0" w:color="70AD47"/>
              <w:bottom w:val="single" w:sz="8" w:space="0" w:color="70AD47"/>
              <w:right w:val="single" w:sz="8" w:space="0" w:color="70AD47"/>
            </w:tcBorders>
            <w:shd w:val="clear" w:color="auto" w:fill="EBF1E9"/>
            <w:tcMar>
              <w:top w:w="15" w:type="dxa"/>
              <w:left w:w="108" w:type="dxa"/>
              <w:bottom w:w="0" w:type="dxa"/>
              <w:right w:w="108" w:type="dxa"/>
            </w:tcMar>
            <w:hideMark/>
          </w:tcPr>
          <w:p w14:paraId="7A7225C1" w14:textId="77777777" w:rsidR="001D28DB" w:rsidRPr="005E6B52" w:rsidRDefault="001D28DB" w:rsidP="001D28DB">
            <w:pPr>
              <w:pStyle w:val="BodyText"/>
              <w:spacing w:before="2"/>
              <w:rPr>
                <w:rFonts w:ascii="Arial"/>
                <w:b/>
                <w:sz w:val="16"/>
              </w:rPr>
            </w:pPr>
            <w:r w:rsidRPr="005E6B52">
              <w:rPr>
                <w:rFonts w:ascii="Arial"/>
                <w:b/>
                <w:bCs/>
                <w:sz w:val="16"/>
              </w:rPr>
              <w:t>Physical Activity</w:t>
            </w:r>
          </w:p>
        </w:tc>
        <w:tc>
          <w:tcPr>
            <w:tcW w:w="1084" w:type="dxa"/>
            <w:tcBorders>
              <w:top w:val="single" w:sz="18" w:space="0" w:color="70AD47"/>
              <w:left w:val="single" w:sz="8" w:space="0" w:color="70AD47"/>
              <w:bottom w:val="single" w:sz="8" w:space="0" w:color="70AD47"/>
              <w:right w:val="single" w:sz="8" w:space="0" w:color="70AD47"/>
            </w:tcBorders>
            <w:shd w:val="clear" w:color="auto" w:fill="FFFFFF"/>
            <w:tcMar>
              <w:top w:w="15" w:type="dxa"/>
              <w:left w:w="108" w:type="dxa"/>
              <w:bottom w:w="0" w:type="dxa"/>
              <w:right w:w="108" w:type="dxa"/>
            </w:tcMar>
            <w:hideMark/>
          </w:tcPr>
          <w:p w14:paraId="081F5B5F" w14:textId="77777777" w:rsidR="001D28DB" w:rsidRPr="005E6B52" w:rsidRDefault="001D28DB" w:rsidP="001D28DB">
            <w:pPr>
              <w:pStyle w:val="BodyText"/>
              <w:spacing w:before="2"/>
              <w:rPr>
                <w:rFonts w:ascii="Arial"/>
                <w:b/>
                <w:sz w:val="16"/>
              </w:rPr>
            </w:pPr>
            <w:r w:rsidRPr="005E6B52">
              <w:rPr>
                <w:rFonts w:ascii="Arial"/>
                <w:b/>
                <w:sz w:val="16"/>
              </w:rPr>
              <w:t>Active</w:t>
            </w:r>
          </w:p>
        </w:tc>
        <w:tc>
          <w:tcPr>
            <w:tcW w:w="1405" w:type="dxa"/>
            <w:tcBorders>
              <w:top w:val="single" w:sz="18" w:space="0" w:color="70AD47"/>
              <w:left w:val="single" w:sz="8" w:space="0" w:color="70AD47"/>
              <w:bottom w:val="single" w:sz="8" w:space="0" w:color="70AD47"/>
              <w:right w:val="single" w:sz="8" w:space="0" w:color="70AD47"/>
            </w:tcBorders>
            <w:shd w:val="clear" w:color="auto" w:fill="FFFFFF"/>
            <w:tcMar>
              <w:top w:w="15" w:type="dxa"/>
              <w:left w:w="108" w:type="dxa"/>
              <w:bottom w:w="0" w:type="dxa"/>
              <w:right w:w="108" w:type="dxa"/>
            </w:tcMar>
            <w:hideMark/>
          </w:tcPr>
          <w:p w14:paraId="36010189" w14:textId="77777777" w:rsidR="001D28DB" w:rsidRPr="005E6B52" w:rsidRDefault="001D28DB" w:rsidP="001D28DB">
            <w:pPr>
              <w:pStyle w:val="BodyText"/>
              <w:spacing w:before="2"/>
              <w:rPr>
                <w:rFonts w:ascii="Arial"/>
                <w:b/>
                <w:sz w:val="16"/>
              </w:rPr>
            </w:pPr>
            <w:r w:rsidRPr="005E6B52">
              <w:rPr>
                <w:rFonts w:ascii="Arial"/>
                <w:b/>
                <w:sz w:val="16"/>
              </w:rPr>
              <w:t>24.3</w:t>
            </w:r>
          </w:p>
        </w:tc>
        <w:tc>
          <w:tcPr>
            <w:tcW w:w="835" w:type="dxa"/>
            <w:vMerge w:val="restart"/>
            <w:tcBorders>
              <w:top w:val="single" w:sz="18" w:space="0" w:color="70AD47"/>
              <w:left w:val="single" w:sz="8" w:space="0" w:color="70AD47"/>
              <w:bottom w:val="single" w:sz="8" w:space="0" w:color="70AD47"/>
              <w:right w:val="single" w:sz="8" w:space="0" w:color="70AD47"/>
            </w:tcBorders>
            <w:shd w:val="clear" w:color="auto" w:fill="FFFFFF"/>
            <w:tcMar>
              <w:top w:w="15" w:type="dxa"/>
              <w:left w:w="108" w:type="dxa"/>
              <w:bottom w:w="0" w:type="dxa"/>
              <w:right w:w="108" w:type="dxa"/>
            </w:tcMar>
            <w:hideMark/>
          </w:tcPr>
          <w:p w14:paraId="5FA4BD2F" w14:textId="77777777" w:rsidR="001D28DB" w:rsidRPr="005E6B52" w:rsidRDefault="001D28DB" w:rsidP="001D28DB">
            <w:pPr>
              <w:pStyle w:val="BodyText"/>
              <w:spacing w:before="2"/>
              <w:rPr>
                <w:rFonts w:ascii="Arial"/>
                <w:b/>
                <w:sz w:val="16"/>
              </w:rPr>
            </w:pPr>
            <w:r w:rsidRPr="005E6B52">
              <w:rPr>
                <w:rFonts w:ascii="Arial"/>
                <w:b/>
                <w:sz w:val="16"/>
              </w:rPr>
              <w:t>0.179</w:t>
            </w:r>
          </w:p>
        </w:tc>
      </w:tr>
      <w:tr w:rsidR="001D28DB" w:rsidRPr="005E6B52" w14:paraId="124A228C" w14:textId="77777777" w:rsidTr="001D28DB">
        <w:trPr>
          <w:trHeight w:val="211"/>
        </w:trPr>
        <w:tc>
          <w:tcPr>
            <w:tcW w:w="0" w:type="auto"/>
            <w:vMerge/>
            <w:tcBorders>
              <w:top w:val="single" w:sz="18" w:space="0" w:color="70AD47"/>
              <w:left w:val="single" w:sz="8" w:space="0" w:color="70AD47"/>
              <w:bottom w:val="single" w:sz="8" w:space="0" w:color="70AD47"/>
              <w:right w:val="single" w:sz="8" w:space="0" w:color="70AD47"/>
            </w:tcBorders>
            <w:vAlign w:val="center"/>
            <w:hideMark/>
          </w:tcPr>
          <w:p w14:paraId="22118570" w14:textId="77777777" w:rsidR="001D28DB" w:rsidRPr="005E6B52" w:rsidRDefault="001D28DB" w:rsidP="001D28DB">
            <w:pPr>
              <w:pStyle w:val="BodyText"/>
              <w:spacing w:before="2"/>
              <w:rPr>
                <w:rFonts w:ascii="Arial"/>
                <w:b/>
                <w:sz w:val="16"/>
              </w:rPr>
            </w:pPr>
          </w:p>
        </w:tc>
        <w:tc>
          <w:tcPr>
            <w:tcW w:w="1084" w:type="dxa"/>
            <w:tcBorders>
              <w:top w:val="single" w:sz="8" w:space="0" w:color="70AD47"/>
              <w:left w:val="single" w:sz="8" w:space="0" w:color="70AD47"/>
              <w:bottom w:val="single" w:sz="8" w:space="0" w:color="70AD47"/>
              <w:right w:val="single" w:sz="8" w:space="0" w:color="70AD47"/>
            </w:tcBorders>
            <w:shd w:val="clear" w:color="auto" w:fill="FFFFFF"/>
            <w:tcMar>
              <w:top w:w="15" w:type="dxa"/>
              <w:left w:w="108" w:type="dxa"/>
              <w:bottom w:w="0" w:type="dxa"/>
              <w:right w:w="108" w:type="dxa"/>
            </w:tcMar>
            <w:hideMark/>
          </w:tcPr>
          <w:p w14:paraId="1538E0CC" w14:textId="77777777" w:rsidR="001D28DB" w:rsidRPr="005E6B52" w:rsidRDefault="001D28DB" w:rsidP="001D28DB">
            <w:pPr>
              <w:pStyle w:val="BodyText"/>
              <w:spacing w:before="2"/>
              <w:rPr>
                <w:rFonts w:ascii="Arial"/>
                <w:b/>
                <w:sz w:val="16"/>
              </w:rPr>
            </w:pPr>
            <w:r w:rsidRPr="005E6B52">
              <w:rPr>
                <w:rFonts w:ascii="Arial"/>
                <w:b/>
                <w:sz w:val="16"/>
              </w:rPr>
              <w:t>Inactive</w:t>
            </w:r>
          </w:p>
        </w:tc>
        <w:tc>
          <w:tcPr>
            <w:tcW w:w="1405" w:type="dxa"/>
            <w:tcBorders>
              <w:top w:val="single" w:sz="8" w:space="0" w:color="70AD47"/>
              <w:left w:val="single" w:sz="8" w:space="0" w:color="70AD47"/>
              <w:bottom w:val="single" w:sz="8" w:space="0" w:color="70AD47"/>
              <w:right w:val="single" w:sz="8" w:space="0" w:color="70AD47"/>
            </w:tcBorders>
            <w:shd w:val="clear" w:color="auto" w:fill="FFFFFF"/>
            <w:tcMar>
              <w:top w:w="15" w:type="dxa"/>
              <w:left w:w="108" w:type="dxa"/>
              <w:bottom w:w="0" w:type="dxa"/>
              <w:right w:w="108" w:type="dxa"/>
            </w:tcMar>
            <w:hideMark/>
          </w:tcPr>
          <w:p w14:paraId="4214B40C" w14:textId="77777777" w:rsidR="001D28DB" w:rsidRPr="005E6B52" w:rsidRDefault="001D28DB" w:rsidP="001D28DB">
            <w:pPr>
              <w:pStyle w:val="BodyText"/>
              <w:spacing w:before="2"/>
              <w:rPr>
                <w:rFonts w:ascii="Arial"/>
                <w:b/>
                <w:sz w:val="16"/>
              </w:rPr>
            </w:pPr>
            <w:r w:rsidRPr="005E6B52">
              <w:rPr>
                <w:rFonts w:ascii="Arial"/>
                <w:b/>
                <w:sz w:val="16"/>
              </w:rPr>
              <w:t>20.0</w:t>
            </w:r>
          </w:p>
        </w:tc>
        <w:tc>
          <w:tcPr>
            <w:tcW w:w="0" w:type="auto"/>
            <w:vMerge/>
            <w:tcBorders>
              <w:top w:val="single" w:sz="18" w:space="0" w:color="70AD47"/>
              <w:left w:val="single" w:sz="8" w:space="0" w:color="70AD47"/>
              <w:bottom w:val="single" w:sz="8" w:space="0" w:color="70AD47"/>
              <w:right w:val="single" w:sz="8" w:space="0" w:color="70AD47"/>
            </w:tcBorders>
            <w:vAlign w:val="center"/>
            <w:hideMark/>
          </w:tcPr>
          <w:p w14:paraId="2F4C0435" w14:textId="77777777" w:rsidR="001D28DB" w:rsidRPr="005E6B52" w:rsidRDefault="001D28DB" w:rsidP="001D28DB">
            <w:pPr>
              <w:pStyle w:val="BodyText"/>
              <w:spacing w:before="2"/>
              <w:rPr>
                <w:rFonts w:ascii="Arial"/>
                <w:b/>
                <w:sz w:val="16"/>
              </w:rPr>
            </w:pPr>
          </w:p>
        </w:tc>
      </w:tr>
    </w:tbl>
    <w:p w14:paraId="376550C8" w14:textId="210C1387" w:rsidR="00AE3E37" w:rsidRDefault="00AE3E37">
      <w:pPr>
        <w:pStyle w:val="BodyText"/>
        <w:spacing w:before="2"/>
        <w:rPr>
          <w:rFonts w:ascii="Arial"/>
          <w:b/>
          <w:sz w:val="16"/>
        </w:rPr>
      </w:pPr>
    </w:p>
    <w:p w14:paraId="4DCF5BBA" w14:textId="0C0E3309" w:rsidR="005E6B52" w:rsidRDefault="005973B9" w:rsidP="001D28DB">
      <w:pPr>
        <w:spacing w:line="204" w:lineRule="exact"/>
        <w:rPr>
          <w:rFonts w:ascii="Arial"/>
          <w:b/>
          <w:color w:val="BF5A14"/>
          <w:sz w:val="20"/>
        </w:rPr>
      </w:pPr>
      <w:r>
        <w:rPr>
          <w:rFonts w:ascii="Arial"/>
          <w:b/>
          <w:color w:val="BF5A14"/>
          <w:sz w:val="20"/>
        </w:rPr>
        <w:br/>
      </w:r>
    </w:p>
    <w:p w14:paraId="15C3082F" w14:textId="32D233D9" w:rsidR="005E6B52" w:rsidRDefault="005E6B52" w:rsidP="001D28DB">
      <w:pPr>
        <w:spacing w:line="204" w:lineRule="exact"/>
        <w:rPr>
          <w:rFonts w:ascii="Arial"/>
          <w:b/>
          <w:color w:val="BF5A14"/>
          <w:sz w:val="20"/>
        </w:rPr>
      </w:pPr>
    </w:p>
    <w:p w14:paraId="6BEFB0DB" w14:textId="0551EEB9" w:rsidR="005E6B52" w:rsidRDefault="005E6B52" w:rsidP="005973B9">
      <w:pPr>
        <w:spacing w:line="204" w:lineRule="exact"/>
        <w:rPr>
          <w:rFonts w:ascii="Arial"/>
          <w:b/>
          <w:color w:val="BF5A14"/>
          <w:sz w:val="20"/>
        </w:rPr>
      </w:pPr>
    </w:p>
    <w:p w14:paraId="4A133D50" w14:textId="1F71848B" w:rsidR="005E6B52" w:rsidRDefault="005E6B52" w:rsidP="005973B9">
      <w:pPr>
        <w:spacing w:line="204" w:lineRule="exact"/>
        <w:rPr>
          <w:rFonts w:ascii="Arial"/>
          <w:b/>
          <w:color w:val="BF5A14"/>
          <w:sz w:val="20"/>
        </w:rPr>
      </w:pPr>
    </w:p>
    <w:p w14:paraId="045C243D" w14:textId="178C1428" w:rsidR="005E6B52" w:rsidRDefault="005E6B52" w:rsidP="005973B9">
      <w:pPr>
        <w:spacing w:line="204" w:lineRule="exact"/>
        <w:rPr>
          <w:rFonts w:ascii="Arial"/>
          <w:b/>
          <w:color w:val="BF5A14"/>
          <w:sz w:val="20"/>
        </w:rPr>
      </w:pPr>
    </w:p>
    <w:p w14:paraId="7F49799E" w14:textId="7B26518E" w:rsidR="005E6B52" w:rsidRDefault="005E6B52" w:rsidP="005973B9">
      <w:pPr>
        <w:spacing w:line="204" w:lineRule="exact"/>
        <w:rPr>
          <w:rFonts w:ascii="Arial"/>
          <w:b/>
          <w:color w:val="BF5A14"/>
          <w:sz w:val="20"/>
        </w:rPr>
      </w:pPr>
    </w:p>
    <w:p w14:paraId="5BF684A0" w14:textId="0813B697" w:rsidR="005E6B52" w:rsidRDefault="00253F74"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58240" behindDoc="0" locked="0" layoutInCell="1" allowOverlap="1" wp14:anchorId="68F99671" wp14:editId="286E9CEB">
            <wp:simplePos x="0" y="0"/>
            <wp:positionH relativeFrom="column">
              <wp:posOffset>325755</wp:posOffset>
            </wp:positionH>
            <wp:positionV relativeFrom="paragraph">
              <wp:posOffset>19400</wp:posOffset>
            </wp:positionV>
            <wp:extent cx="3165475" cy="159766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4-11 at 6.45.58 P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597660"/>
                    </a:xfrm>
                    <a:prstGeom prst="rect">
                      <a:avLst/>
                    </a:prstGeom>
                  </pic:spPr>
                </pic:pic>
              </a:graphicData>
            </a:graphic>
            <wp14:sizeRelH relativeFrom="page">
              <wp14:pctWidth>0</wp14:pctWidth>
            </wp14:sizeRelH>
            <wp14:sizeRelV relativeFrom="page">
              <wp14:pctHeight>0</wp14:pctHeight>
            </wp14:sizeRelV>
          </wp:anchor>
        </w:drawing>
      </w:r>
    </w:p>
    <w:p w14:paraId="1EB5429A" w14:textId="7E30990A" w:rsidR="005E6B52" w:rsidRDefault="005E6B52" w:rsidP="005973B9">
      <w:pPr>
        <w:spacing w:line="204" w:lineRule="exact"/>
        <w:rPr>
          <w:rFonts w:ascii="Arial"/>
          <w:b/>
          <w:color w:val="BF5A14"/>
          <w:sz w:val="20"/>
        </w:rPr>
      </w:pPr>
    </w:p>
    <w:p w14:paraId="775FC7F9" w14:textId="77777777" w:rsidR="005E6B52" w:rsidRDefault="005E6B52" w:rsidP="005973B9">
      <w:pPr>
        <w:spacing w:line="204" w:lineRule="exact"/>
        <w:rPr>
          <w:rFonts w:ascii="Arial"/>
          <w:b/>
          <w:color w:val="BF5A14"/>
          <w:sz w:val="20"/>
        </w:rPr>
      </w:pPr>
    </w:p>
    <w:p w14:paraId="5E880769" w14:textId="1120266E" w:rsidR="005E6B52" w:rsidRDefault="005E6B52" w:rsidP="005973B9">
      <w:pPr>
        <w:spacing w:line="204" w:lineRule="exact"/>
        <w:rPr>
          <w:rFonts w:ascii="Arial"/>
          <w:b/>
          <w:color w:val="BF5A14"/>
          <w:sz w:val="20"/>
        </w:rPr>
      </w:pPr>
    </w:p>
    <w:p w14:paraId="18F2CC68" w14:textId="77777777" w:rsidR="001D28DB" w:rsidRDefault="001D28DB" w:rsidP="005973B9">
      <w:pPr>
        <w:spacing w:line="204" w:lineRule="exact"/>
        <w:rPr>
          <w:rFonts w:ascii="Arial"/>
          <w:b/>
          <w:color w:val="BF5A14"/>
          <w:sz w:val="20"/>
        </w:rPr>
      </w:pPr>
    </w:p>
    <w:p w14:paraId="341233E6" w14:textId="77777777" w:rsidR="001D28DB" w:rsidRDefault="001D28DB" w:rsidP="005973B9">
      <w:pPr>
        <w:spacing w:line="204" w:lineRule="exact"/>
        <w:rPr>
          <w:rFonts w:ascii="Arial"/>
          <w:b/>
          <w:color w:val="BF5A14"/>
          <w:sz w:val="20"/>
        </w:rPr>
      </w:pPr>
    </w:p>
    <w:p w14:paraId="5CE2334A" w14:textId="77777777" w:rsidR="001D28DB" w:rsidRDefault="001D28DB" w:rsidP="005973B9">
      <w:pPr>
        <w:spacing w:line="204" w:lineRule="exact"/>
        <w:rPr>
          <w:rFonts w:ascii="Arial"/>
          <w:b/>
          <w:color w:val="BF5A14"/>
          <w:sz w:val="20"/>
        </w:rPr>
      </w:pPr>
    </w:p>
    <w:p w14:paraId="7C961089" w14:textId="77777777" w:rsidR="001D28DB" w:rsidRDefault="001D28DB" w:rsidP="005973B9">
      <w:pPr>
        <w:spacing w:line="204" w:lineRule="exact"/>
        <w:rPr>
          <w:rFonts w:ascii="Arial"/>
          <w:b/>
          <w:color w:val="BF5A14"/>
          <w:sz w:val="20"/>
        </w:rPr>
      </w:pPr>
    </w:p>
    <w:p w14:paraId="7D93AB9D" w14:textId="77777777" w:rsidR="001D28DB" w:rsidRDefault="001D28DB" w:rsidP="005973B9">
      <w:pPr>
        <w:spacing w:line="204" w:lineRule="exact"/>
        <w:rPr>
          <w:rFonts w:ascii="Arial"/>
          <w:b/>
          <w:color w:val="BF5A14"/>
          <w:sz w:val="20"/>
        </w:rPr>
      </w:pPr>
    </w:p>
    <w:p w14:paraId="140E8115" w14:textId="77777777" w:rsidR="001D28DB" w:rsidRDefault="001D28DB" w:rsidP="005973B9">
      <w:pPr>
        <w:spacing w:line="204" w:lineRule="exact"/>
        <w:rPr>
          <w:rFonts w:ascii="Arial"/>
          <w:b/>
          <w:color w:val="BF5A14"/>
          <w:sz w:val="20"/>
        </w:rPr>
      </w:pPr>
    </w:p>
    <w:p w14:paraId="00A878F4" w14:textId="77777777" w:rsidR="001D28DB" w:rsidRDefault="001D28DB" w:rsidP="005973B9">
      <w:pPr>
        <w:spacing w:line="204" w:lineRule="exact"/>
        <w:rPr>
          <w:rFonts w:ascii="Arial"/>
          <w:b/>
          <w:color w:val="BF5A14"/>
          <w:sz w:val="20"/>
        </w:rPr>
      </w:pPr>
    </w:p>
    <w:p w14:paraId="3AB08845" w14:textId="77777777" w:rsidR="001D28DB" w:rsidRDefault="001D28DB" w:rsidP="005973B9">
      <w:pPr>
        <w:spacing w:line="204" w:lineRule="exact"/>
        <w:rPr>
          <w:rFonts w:ascii="Arial"/>
          <w:b/>
          <w:color w:val="BF5A14"/>
          <w:sz w:val="20"/>
        </w:rPr>
      </w:pPr>
    </w:p>
    <w:p w14:paraId="416BF43C" w14:textId="77777777" w:rsidR="001D28DB" w:rsidRDefault="001D28DB" w:rsidP="005973B9">
      <w:pPr>
        <w:spacing w:line="204" w:lineRule="exact"/>
        <w:rPr>
          <w:rFonts w:ascii="Arial"/>
          <w:b/>
          <w:color w:val="BF5A14"/>
          <w:sz w:val="20"/>
        </w:rPr>
      </w:pPr>
    </w:p>
    <w:p w14:paraId="4BA8BC1D" w14:textId="77777777" w:rsidR="001D28DB" w:rsidRDefault="001D28DB" w:rsidP="005973B9">
      <w:pPr>
        <w:spacing w:line="204" w:lineRule="exact"/>
        <w:rPr>
          <w:rFonts w:ascii="Arial"/>
          <w:b/>
          <w:color w:val="BF5A14"/>
          <w:sz w:val="20"/>
        </w:rPr>
      </w:pPr>
    </w:p>
    <w:p w14:paraId="44D8CB58" w14:textId="65857364" w:rsidR="005973B9" w:rsidRDefault="005973B9" w:rsidP="005973B9">
      <w:pPr>
        <w:spacing w:line="204" w:lineRule="exact"/>
        <w:rPr>
          <w:rFonts w:ascii="Arial"/>
          <w:b/>
          <w:sz w:val="20"/>
        </w:rPr>
      </w:pPr>
      <w:r>
        <w:rPr>
          <w:rFonts w:ascii="Arial"/>
          <w:b/>
          <w:color w:val="BF5A14"/>
          <w:sz w:val="20"/>
        </w:rPr>
        <w:t>Recent Publications (minimum 5)</w:t>
      </w:r>
    </w:p>
    <w:p w14:paraId="6019555F" w14:textId="62C658B8" w:rsidR="005973B9" w:rsidRPr="000A7E2F" w:rsidRDefault="00404DB5" w:rsidP="005973B9">
      <w:pPr>
        <w:pStyle w:val="ListParagraph"/>
        <w:numPr>
          <w:ilvl w:val="0"/>
          <w:numId w:val="3"/>
        </w:numPr>
        <w:tabs>
          <w:tab w:val="left" w:pos="384"/>
        </w:tabs>
        <w:spacing w:line="216" w:lineRule="exact"/>
        <w:ind w:right="137" w:hanging="283"/>
        <w:rPr>
          <w:rFonts w:asciiTheme="majorHAnsi" w:hAnsiTheme="majorHAnsi"/>
          <w:sz w:val="16"/>
          <w:szCs w:val="16"/>
        </w:rPr>
      </w:pPr>
      <w:r w:rsidRPr="000A7E2F">
        <w:rPr>
          <w:rFonts w:asciiTheme="majorHAnsi" w:hAnsiTheme="majorHAnsi"/>
          <w:sz w:val="16"/>
          <w:szCs w:val="16"/>
        </w:rPr>
        <w:t>Lim, S.S., et al., A comparative risk assessment of burden of disease and injury attributable to 67 risk factors and risk factor clusters in 21 regions, 1990–2010: a systematic analysis for the Global Burden of Disease Study 2010. The lancet, 2012. 380(9859): p. 2224-2260.</w:t>
      </w:r>
      <w:r w:rsidR="005973B9" w:rsidRPr="000A7E2F">
        <w:rPr>
          <w:rFonts w:asciiTheme="majorHAnsi" w:hAnsiTheme="majorHAnsi"/>
          <w:sz w:val="16"/>
          <w:szCs w:val="16"/>
        </w:rPr>
        <w:t xml:space="preserve">Heilig M, Egli M (2006) Pharmacological treatment of alcohol dependence: </w:t>
      </w:r>
      <w:r w:rsidR="005973B9" w:rsidRPr="000A7E2F">
        <w:rPr>
          <w:rFonts w:asciiTheme="majorHAnsi" w:hAnsiTheme="majorHAnsi"/>
          <w:spacing w:val="-4"/>
          <w:sz w:val="16"/>
          <w:szCs w:val="16"/>
        </w:rPr>
        <w:t xml:space="preserve">Target </w:t>
      </w:r>
      <w:r w:rsidR="005973B9" w:rsidRPr="000A7E2F">
        <w:rPr>
          <w:rFonts w:asciiTheme="majorHAnsi" w:hAnsiTheme="majorHAnsi"/>
          <w:sz w:val="16"/>
          <w:szCs w:val="16"/>
        </w:rPr>
        <w:t>symptoms and target mechanisms. Pharmacology and therapeutics 111:855-876.</w:t>
      </w:r>
    </w:p>
    <w:p w14:paraId="0FC25C5D" w14:textId="3BF08959" w:rsidR="005973B9" w:rsidRPr="000A7E2F" w:rsidRDefault="00381CF6" w:rsidP="005973B9">
      <w:pPr>
        <w:pStyle w:val="ListParagraph"/>
        <w:numPr>
          <w:ilvl w:val="0"/>
          <w:numId w:val="3"/>
        </w:numPr>
        <w:tabs>
          <w:tab w:val="left" w:pos="384"/>
        </w:tabs>
        <w:spacing w:before="92" w:line="218" w:lineRule="exact"/>
        <w:ind w:hanging="283"/>
        <w:rPr>
          <w:rFonts w:asciiTheme="majorHAnsi" w:hAnsiTheme="majorHAnsi"/>
          <w:sz w:val="16"/>
          <w:szCs w:val="16"/>
        </w:rPr>
      </w:pPr>
      <w:r w:rsidRPr="000A7E2F">
        <w:rPr>
          <w:rFonts w:asciiTheme="majorHAnsi" w:hAnsiTheme="majorHAnsi"/>
          <w:sz w:val="16"/>
          <w:szCs w:val="16"/>
        </w:rPr>
        <w:t>Calvo-Munoz, I., A. Gomez-Conesa, and J. Sanchez-Meca, Prevalence of low back pain in children and adolescents: a meta-analysis. BMC Pediatr, 2013. 13: p. 14.</w:t>
      </w:r>
      <w:r w:rsidR="005973B9" w:rsidRPr="000A7E2F">
        <w:rPr>
          <w:rFonts w:asciiTheme="majorHAnsi" w:hAnsiTheme="majorHAnsi"/>
          <w:sz w:val="16"/>
          <w:szCs w:val="16"/>
        </w:rPr>
        <w:t>Room R, Babor</w:t>
      </w:r>
      <w:r w:rsidR="005973B9" w:rsidRPr="000A7E2F">
        <w:rPr>
          <w:rFonts w:asciiTheme="majorHAnsi" w:hAnsiTheme="majorHAnsi"/>
          <w:spacing w:val="-10"/>
          <w:sz w:val="16"/>
          <w:szCs w:val="16"/>
        </w:rPr>
        <w:t xml:space="preserve">T, </w:t>
      </w:r>
      <w:r w:rsidR="005973B9" w:rsidRPr="000A7E2F">
        <w:rPr>
          <w:rFonts w:asciiTheme="majorHAnsi" w:hAnsiTheme="majorHAnsi"/>
          <w:sz w:val="16"/>
          <w:szCs w:val="16"/>
        </w:rPr>
        <w:t>Rehm J (2005) Alcohol and public health. Lancet</w:t>
      </w:r>
    </w:p>
    <w:p w14:paraId="2E5E267D" w14:textId="77777777" w:rsidR="005973B9" w:rsidRPr="000A7E2F" w:rsidRDefault="005973B9" w:rsidP="005973B9">
      <w:pPr>
        <w:pStyle w:val="BodyText"/>
        <w:spacing w:line="218" w:lineRule="exact"/>
        <w:ind w:left="383"/>
        <w:rPr>
          <w:rFonts w:asciiTheme="majorHAnsi" w:hAnsiTheme="majorHAnsi"/>
          <w:sz w:val="16"/>
          <w:szCs w:val="16"/>
        </w:rPr>
      </w:pPr>
      <w:r w:rsidRPr="000A7E2F">
        <w:rPr>
          <w:rFonts w:asciiTheme="majorHAnsi" w:hAnsiTheme="majorHAnsi"/>
          <w:sz w:val="16"/>
          <w:szCs w:val="16"/>
        </w:rPr>
        <w:t>365: 519-530.</w:t>
      </w:r>
    </w:p>
    <w:p w14:paraId="6CF766EB" w14:textId="473DDC94" w:rsidR="005973B9" w:rsidRPr="000A7E2F" w:rsidRDefault="00080305" w:rsidP="00381CF6">
      <w:pPr>
        <w:pStyle w:val="BodyText"/>
        <w:numPr>
          <w:ilvl w:val="0"/>
          <w:numId w:val="3"/>
        </w:numPr>
        <w:spacing w:before="85" w:line="216" w:lineRule="exact"/>
        <w:ind w:right="138"/>
        <w:jc w:val="both"/>
        <w:rPr>
          <w:rFonts w:asciiTheme="majorHAnsi" w:hAnsiTheme="majorHAnsi"/>
          <w:sz w:val="16"/>
          <w:szCs w:val="16"/>
        </w:rPr>
      </w:pPr>
      <w:r w:rsidRPr="000A7E2F">
        <w:rPr>
          <w:rFonts w:asciiTheme="majorHAnsi" w:hAnsiTheme="majorHAnsi" w:cs="Times New Roman"/>
          <w:noProof/>
          <w:sz w:val="16"/>
          <w:szCs w:val="16"/>
        </w:rPr>
        <w:t xml:space="preserve">Anderson, J.A., </w:t>
      </w:r>
      <w:r w:rsidRPr="000A7E2F">
        <w:rPr>
          <w:rFonts w:asciiTheme="majorHAnsi" w:hAnsiTheme="majorHAnsi" w:cs="Times New Roman"/>
          <w:i/>
          <w:noProof/>
          <w:sz w:val="16"/>
          <w:szCs w:val="16"/>
        </w:rPr>
        <w:t>Problems of classification of low-back pain.</w:t>
      </w:r>
      <w:r w:rsidRPr="000A7E2F">
        <w:rPr>
          <w:rFonts w:asciiTheme="majorHAnsi" w:hAnsiTheme="majorHAnsi" w:cs="Times New Roman"/>
          <w:noProof/>
          <w:sz w:val="16"/>
          <w:szCs w:val="16"/>
        </w:rPr>
        <w:t xml:space="preserve"> Rheumatol Rehabil, 1977. </w:t>
      </w:r>
      <w:r w:rsidRPr="000A7E2F">
        <w:rPr>
          <w:rFonts w:asciiTheme="majorHAnsi" w:hAnsiTheme="majorHAnsi" w:cs="Times New Roman"/>
          <w:b/>
          <w:noProof/>
          <w:sz w:val="16"/>
          <w:szCs w:val="16"/>
        </w:rPr>
        <w:t>16</w:t>
      </w:r>
      <w:r w:rsidRPr="000A7E2F">
        <w:rPr>
          <w:rFonts w:asciiTheme="majorHAnsi" w:hAnsiTheme="majorHAnsi" w:cs="Times New Roman"/>
          <w:noProof/>
          <w:sz w:val="16"/>
          <w:szCs w:val="16"/>
        </w:rPr>
        <w:t>(1): p. 34-6.</w:t>
      </w:r>
    </w:p>
    <w:p w14:paraId="68A05615" w14:textId="77777777" w:rsidR="000C2997" w:rsidRPr="004908E1" w:rsidRDefault="000C2997" w:rsidP="000C2997">
      <w:pPr>
        <w:pStyle w:val="ListParagraph"/>
        <w:numPr>
          <w:ilvl w:val="0"/>
          <w:numId w:val="3"/>
        </w:numPr>
        <w:rPr>
          <w:rFonts w:asciiTheme="majorHAnsi" w:hAnsiTheme="majorHAnsi" w:cs="Times New Roman"/>
          <w:noProof/>
          <w:sz w:val="16"/>
          <w:szCs w:val="16"/>
        </w:rPr>
      </w:pPr>
      <w:r w:rsidRPr="000A7E2F">
        <w:rPr>
          <w:rFonts w:asciiTheme="majorHAnsi" w:hAnsiTheme="majorHAnsi" w:cs="Times New Roman"/>
          <w:noProof/>
          <w:sz w:val="16"/>
          <w:szCs w:val="16"/>
        </w:rPr>
        <w:t xml:space="preserve">Anderson, L., </w:t>
      </w:r>
      <w:r w:rsidRPr="000A7E2F">
        <w:rPr>
          <w:rFonts w:asciiTheme="majorHAnsi" w:hAnsiTheme="majorHAnsi" w:cs="Times New Roman"/>
          <w:i/>
          <w:noProof/>
          <w:sz w:val="16"/>
          <w:szCs w:val="16"/>
        </w:rPr>
        <w:t>Educational approaches to management of low back pain.</w:t>
      </w:r>
      <w:r w:rsidRPr="000A7E2F">
        <w:rPr>
          <w:rFonts w:asciiTheme="majorHAnsi" w:hAnsiTheme="majorHAnsi" w:cs="Times New Roman"/>
          <w:noProof/>
          <w:sz w:val="16"/>
          <w:szCs w:val="16"/>
        </w:rPr>
        <w:t xml:space="preserve"> Orthop Nurs, 1989. </w:t>
      </w:r>
      <w:r w:rsidRPr="000A7E2F">
        <w:rPr>
          <w:rFonts w:asciiTheme="majorHAnsi" w:hAnsiTheme="majorHAnsi" w:cs="Times New Roman"/>
          <w:b/>
          <w:noProof/>
          <w:sz w:val="16"/>
          <w:szCs w:val="16"/>
        </w:rPr>
        <w:t>8</w:t>
      </w:r>
      <w:r w:rsidRPr="000A7E2F">
        <w:rPr>
          <w:rFonts w:asciiTheme="majorHAnsi" w:hAnsiTheme="majorHAnsi" w:cs="Times New Roman"/>
          <w:noProof/>
          <w:sz w:val="16"/>
          <w:szCs w:val="16"/>
        </w:rPr>
        <w:t>(1): p. 43-6.</w:t>
      </w:r>
    </w:p>
    <w:p w14:paraId="0BDE0DAE" w14:textId="77777777" w:rsidR="004908E1" w:rsidRPr="004908E1" w:rsidRDefault="004908E1" w:rsidP="004908E1">
      <w:pPr>
        <w:pStyle w:val="ListParagraph"/>
        <w:numPr>
          <w:ilvl w:val="0"/>
          <w:numId w:val="3"/>
        </w:numPr>
        <w:rPr>
          <w:rFonts w:ascii="Cambria" w:hAnsi="Cambria" w:cs="Times New Roman"/>
          <w:noProof/>
          <w:sz w:val="16"/>
          <w:szCs w:val="16"/>
        </w:rPr>
      </w:pPr>
      <w:r w:rsidRPr="004908E1">
        <w:rPr>
          <w:rFonts w:ascii="Cambria" w:hAnsi="Cambria" w:cs="Times New Roman"/>
          <w:noProof/>
          <w:sz w:val="16"/>
          <w:szCs w:val="16"/>
        </w:rPr>
        <w:t xml:space="preserve">Kuorinka, I., et al., </w:t>
      </w:r>
      <w:r w:rsidRPr="004908E1">
        <w:rPr>
          <w:rFonts w:ascii="Cambria" w:hAnsi="Cambria" w:cs="Times New Roman"/>
          <w:i/>
          <w:noProof/>
          <w:sz w:val="16"/>
          <w:szCs w:val="16"/>
        </w:rPr>
        <w:t>Standardised Nordic questionnaires for the analysis of musculoskeletal symptoms.</w:t>
      </w:r>
      <w:r w:rsidRPr="004908E1">
        <w:rPr>
          <w:rFonts w:ascii="Cambria" w:hAnsi="Cambria" w:cs="Times New Roman"/>
          <w:noProof/>
          <w:sz w:val="16"/>
          <w:szCs w:val="16"/>
        </w:rPr>
        <w:t xml:space="preserve"> Appl Ergon, 1987. </w:t>
      </w:r>
      <w:r w:rsidRPr="004908E1">
        <w:rPr>
          <w:rFonts w:ascii="Cambria" w:hAnsi="Cambria" w:cs="Times New Roman"/>
          <w:b/>
          <w:noProof/>
          <w:sz w:val="16"/>
          <w:szCs w:val="16"/>
        </w:rPr>
        <w:t>18</w:t>
      </w:r>
      <w:r w:rsidRPr="004908E1">
        <w:rPr>
          <w:rFonts w:ascii="Cambria" w:hAnsi="Cambria" w:cs="Times New Roman"/>
          <w:noProof/>
          <w:sz w:val="16"/>
          <w:szCs w:val="16"/>
        </w:rPr>
        <w:t>(3): p. 233-7.</w:t>
      </w:r>
    </w:p>
    <w:p w14:paraId="2B43F1CF" w14:textId="20D773E4" w:rsidR="000C2997" w:rsidRPr="000A7E2F" w:rsidRDefault="000A7E2F" w:rsidP="000A7E2F">
      <w:pPr>
        <w:pStyle w:val="ListParagraph"/>
        <w:numPr>
          <w:ilvl w:val="0"/>
          <w:numId w:val="3"/>
        </w:numPr>
        <w:rPr>
          <w:rFonts w:ascii="Cambria" w:hAnsi="Cambria" w:cs="Times New Roman"/>
          <w:noProof/>
          <w:sz w:val="16"/>
          <w:szCs w:val="16"/>
        </w:rPr>
      </w:pPr>
      <w:r w:rsidRPr="000A7E2F">
        <w:rPr>
          <w:rFonts w:ascii="Cambria" w:hAnsi="Cambria" w:cs="Times New Roman"/>
          <w:noProof/>
          <w:sz w:val="16"/>
          <w:szCs w:val="16"/>
        </w:rPr>
        <w:t xml:space="preserve">Fairbank, J.C. and P.B. Pynsent, </w:t>
      </w:r>
      <w:r w:rsidRPr="000A7E2F">
        <w:rPr>
          <w:rFonts w:ascii="Cambria" w:hAnsi="Cambria" w:cs="Times New Roman"/>
          <w:i/>
          <w:noProof/>
          <w:sz w:val="16"/>
          <w:szCs w:val="16"/>
        </w:rPr>
        <w:t>The Oswestry Disability Index.</w:t>
      </w:r>
      <w:r w:rsidRPr="000A7E2F">
        <w:rPr>
          <w:rFonts w:ascii="Cambria" w:hAnsi="Cambria" w:cs="Times New Roman"/>
          <w:noProof/>
          <w:sz w:val="16"/>
          <w:szCs w:val="16"/>
        </w:rPr>
        <w:t xml:space="preserve"> Spine (Phila Pa 1976), 2000. </w:t>
      </w:r>
      <w:r w:rsidRPr="000A7E2F">
        <w:rPr>
          <w:rFonts w:ascii="Cambria" w:hAnsi="Cambria" w:cs="Times New Roman"/>
          <w:b/>
          <w:noProof/>
          <w:sz w:val="16"/>
          <w:szCs w:val="16"/>
        </w:rPr>
        <w:t>25</w:t>
      </w:r>
      <w:r w:rsidRPr="000A7E2F">
        <w:rPr>
          <w:rFonts w:ascii="Cambria" w:hAnsi="Cambria" w:cs="Times New Roman"/>
          <w:noProof/>
          <w:sz w:val="16"/>
          <w:szCs w:val="16"/>
        </w:rPr>
        <w:t>(22): p. 2940-52; discussion 2952.</w:t>
      </w:r>
    </w:p>
    <w:p w14:paraId="6A343995" w14:textId="77777777" w:rsidR="00AE3E37" w:rsidRPr="008756E6" w:rsidRDefault="00AE3E37" w:rsidP="008756E6">
      <w:pPr>
        <w:tabs>
          <w:tab w:val="left" w:pos="384"/>
        </w:tabs>
        <w:ind w:right="117"/>
      </w:pPr>
    </w:p>
    <w:p w14:paraId="7091FED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EA65A8" w14:textId="0485BC03" w:rsidR="00AE3E37" w:rsidRPr="00D62425" w:rsidRDefault="00D62425">
      <w:pPr>
        <w:pStyle w:val="BodyText"/>
        <w:rPr>
          <w:rFonts w:ascii="Calibri"/>
          <w:b/>
          <w:sz w:val="20"/>
        </w:rPr>
      </w:pPr>
      <w:r>
        <w:rPr>
          <w:rFonts w:ascii="Calibri"/>
          <w:sz w:val="20"/>
        </w:rPr>
        <w:t xml:space="preserve">                 </w:t>
      </w:r>
    </w:p>
    <w:p w14:paraId="5A4AB91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97357B8" wp14:editId="78F8FC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757970B" w14:textId="25AED77C" w:rsidR="00CB6D5A" w:rsidRDefault="008756E6" w:rsidP="00404E5B">
      <w:pPr>
        <w:spacing w:before="92"/>
        <w:ind w:right="4234"/>
        <w:rPr>
          <w:noProof/>
        </w:rPr>
      </w:pPr>
      <w:r>
        <w:rPr>
          <w:noProof/>
        </w:rPr>
        <w:t xml:space="preserve">              </w:t>
      </w:r>
    </w:p>
    <w:p w14:paraId="4E967DB5" w14:textId="77777777" w:rsidR="00A40362" w:rsidRDefault="00A40362" w:rsidP="00404E5B">
      <w:pPr>
        <w:spacing w:before="92"/>
        <w:ind w:right="4234"/>
        <w:rPr>
          <w:rFonts w:ascii="Arial"/>
          <w:color w:val="BF5A14"/>
        </w:rPr>
      </w:pPr>
    </w:p>
    <w:p w14:paraId="7A57E425" w14:textId="10118E43" w:rsidR="00A40362" w:rsidRDefault="000A7E2F" w:rsidP="00404E5B">
      <w:pPr>
        <w:spacing w:before="92"/>
        <w:ind w:right="4234"/>
        <w:rPr>
          <w:rFonts w:ascii="Arial"/>
          <w:color w:val="BF5A14"/>
        </w:rPr>
      </w:pPr>
      <w:r>
        <w:rPr>
          <w:rFonts w:ascii="Arial"/>
          <w:noProof/>
          <w:color w:val="BF5A14"/>
        </w:rPr>
        <w:lastRenderedPageBreak/>
        <w:drawing>
          <wp:inline distT="0" distB="0" distL="0" distR="0" wp14:anchorId="0C8B56BE" wp14:editId="0082851F">
            <wp:extent cx="1026160" cy="128336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سارة الجاسر.jpeg"/>
                    <pic:cNvPicPr/>
                  </pic:nvPicPr>
                  <pic:blipFill rotWithShape="1">
                    <a:blip r:embed="rId10" cstate="print">
                      <a:extLst>
                        <a:ext uri="{28A0092B-C50C-407E-A947-70E740481C1C}">
                          <a14:useLocalDpi xmlns:a14="http://schemas.microsoft.com/office/drawing/2010/main" val="0"/>
                        </a:ext>
                      </a:extLst>
                    </a:blip>
                    <a:srcRect b="16656"/>
                    <a:stretch/>
                  </pic:blipFill>
                  <pic:spPr bwMode="auto">
                    <a:xfrm>
                      <a:off x="0" y="0"/>
                      <a:ext cx="1032657" cy="1291494"/>
                    </a:xfrm>
                    <a:prstGeom prst="rect">
                      <a:avLst/>
                    </a:prstGeom>
                    <a:ln>
                      <a:noFill/>
                    </a:ln>
                    <a:extLst>
                      <a:ext uri="{53640926-AAD7-44D8-BBD7-CCE9431645EC}">
                        <a14:shadowObscured xmlns:a14="http://schemas.microsoft.com/office/drawing/2010/main"/>
                      </a:ext>
                    </a:extLst>
                  </pic:spPr>
                </pic:pic>
              </a:graphicData>
            </a:graphic>
          </wp:inline>
        </w:drawing>
      </w:r>
    </w:p>
    <w:p w14:paraId="7FAAB59C" w14:textId="7E616B22"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53062C37" w14:textId="052A7CFB" w:rsidR="00AE3E37" w:rsidRDefault="006107A2">
      <w:pPr>
        <w:spacing w:before="41" w:line="154" w:lineRule="exact"/>
        <w:ind w:left="213" w:right="231"/>
        <w:jc w:val="both"/>
        <w:rPr>
          <w:rFonts w:ascii="Arial"/>
          <w:sz w:val="14"/>
        </w:rPr>
      </w:pPr>
      <w:r>
        <w:rPr>
          <w:rFonts w:ascii="Arial"/>
          <w:sz w:val="14"/>
        </w:rPr>
        <w:t xml:space="preserve">Sarah Nasser alJasser is a </w:t>
      </w:r>
      <w:r w:rsidR="00A44584">
        <w:rPr>
          <w:rFonts w:ascii="Arial"/>
          <w:sz w:val="14"/>
        </w:rPr>
        <w:t>1</w:t>
      </w:r>
      <w:r w:rsidR="00A44584" w:rsidRPr="00A44584">
        <w:rPr>
          <w:rFonts w:ascii="Arial"/>
          <w:sz w:val="14"/>
          <w:vertAlign w:val="superscript"/>
        </w:rPr>
        <w:t>st</w:t>
      </w:r>
      <w:r w:rsidR="00A44584">
        <w:rPr>
          <w:rFonts w:ascii="Arial"/>
          <w:sz w:val="14"/>
        </w:rPr>
        <w:t xml:space="preserve"> honor</w:t>
      </w:r>
      <w:r w:rsidR="00A44584">
        <w:rPr>
          <w:rFonts w:ascii="Arial"/>
          <w:sz w:val="14"/>
        </w:rPr>
        <w:t>’</w:t>
      </w:r>
      <w:r w:rsidR="00A44584">
        <w:rPr>
          <w:rFonts w:ascii="Arial"/>
          <w:sz w:val="14"/>
        </w:rPr>
        <w:t>s degree newly</w:t>
      </w:r>
      <w:r>
        <w:rPr>
          <w:rFonts w:ascii="Arial"/>
          <w:sz w:val="14"/>
        </w:rPr>
        <w:t xml:space="preserve"> graduate and medical intern at King Khalid University Hospital in Riyadh,</w:t>
      </w:r>
      <w:r w:rsidR="00A44584">
        <w:rPr>
          <w:rFonts w:ascii="Arial"/>
          <w:sz w:val="14"/>
        </w:rPr>
        <w:t xml:space="preserve"> </w:t>
      </w:r>
      <w:r>
        <w:rPr>
          <w:rFonts w:ascii="Arial"/>
          <w:sz w:val="14"/>
        </w:rPr>
        <w:t>Saudi Arabia. She is interested in the prosperous field of spine surgery</w:t>
      </w:r>
      <w:r w:rsidR="00A44584">
        <w:rPr>
          <w:rFonts w:ascii="Arial"/>
          <w:sz w:val="14"/>
        </w:rPr>
        <w:t>. She completed her bachelor degree in Medicine in King Saud University on April 4, 2019 and is currently an intern in King Khalid University Hospital. She has been an active researcher in cross-sectional studies and case-series related to spinal surgery</w:t>
      </w:r>
      <w:r w:rsidR="00FC67D8">
        <w:rPr>
          <w:rFonts w:ascii="Arial"/>
          <w:sz w:val="14"/>
        </w:rPr>
        <w:t xml:space="preserve"> more precisely minimally invasive techniques</w:t>
      </w:r>
      <w:r w:rsidR="007A4778">
        <w:rPr>
          <w:rFonts w:ascii="Arial"/>
          <w:sz w:val="14"/>
        </w:rPr>
        <w:t xml:space="preserve"> such as ACDF with stand-alone cage VS ACDF with plates and screws in the treatment of degenerative spine diseases. </w:t>
      </w:r>
      <w:r w:rsidR="00FC67D8">
        <w:rPr>
          <w:rFonts w:ascii="Arial"/>
          <w:sz w:val="14"/>
        </w:rPr>
        <w:t xml:space="preserve"> </w:t>
      </w:r>
    </w:p>
    <w:p w14:paraId="2EDB0E47" w14:textId="5EB86991" w:rsidR="00AE3E37" w:rsidRDefault="00A9710C">
      <w:pPr>
        <w:spacing w:before="62"/>
        <w:ind w:left="4217" w:right="4235"/>
        <w:jc w:val="center"/>
        <w:rPr>
          <w:rFonts w:ascii="Arial"/>
          <w:sz w:val="14"/>
        </w:rPr>
      </w:pPr>
      <w:r>
        <w:rPr>
          <w:rFonts w:ascii="Arial"/>
          <w:sz w:val="14"/>
        </w:rPr>
        <w:t xml:space="preserve">Email: </w:t>
      </w:r>
      <w:hyperlink r:id="rId11" w:history="1">
        <w:r w:rsidR="00253FD8" w:rsidRPr="000F6F51">
          <w:rPr>
            <w:rStyle w:val="Hyperlink"/>
            <w:rFonts w:ascii="Arial"/>
            <w:sz w:val="14"/>
          </w:rPr>
          <w:t>s.aljasser666@gmail.com</w:t>
        </w:r>
      </w:hyperlink>
    </w:p>
    <w:p w14:paraId="24BF7A8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22F7BC0" wp14:editId="52AB65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0CC8AD9" w14:textId="77777777" w:rsidR="00AE3E37" w:rsidRDefault="00AE3E37">
      <w:pPr>
        <w:pStyle w:val="BodyText"/>
        <w:rPr>
          <w:rFonts w:ascii="Arial"/>
          <w:sz w:val="20"/>
        </w:rPr>
      </w:pPr>
    </w:p>
    <w:p w14:paraId="21F77FB3" w14:textId="77777777" w:rsidR="00AE3E37" w:rsidRDefault="00AE3E37">
      <w:pPr>
        <w:pStyle w:val="BodyText"/>
        <w:rPr>
          <w:rFonts w:ascii="Arial"/>
          <w:sz w:val="20"/>
        </w:rPr>
      </w:pPr>
    </w:p>
    <w:p w14:paraId="2EEAB9D7" w14:textId="77777777" w:rsidR="00AE3E37" w:rsidRDefault="00AE3E37">
      <w:pPr>
        <w:pStyle w:val="BodyText"/>
        <w:spacing w:before="7"/>
        <w:rPr>
          <w:rFonts w:ascii="Arial"/>
          <w:sz w:val="29"/>
        </w:rPr>
      </w:pPr>
    </w:p>
    <w:p w14:paraId="7DE82F57" w14:textId="77777777" w:rsidR="00AE3E37" w:rsidRPr="00B21A57" w:rsidRDefault="00A9710C">
      <w:pPr>
        <w:spacing w:before="39"/>
        <w:ind w:left="100"/>
        <w:rPr>
          <w:rFonts w:ascii="Minion Pro"/>
          <w:b/>
          <w:sz w:val="20"/>
        </w:rPr>
      </w:pPr>
      <w:r w:rsidRPr="00B21A57">
        <w:rPr>
          <w:rFonts w:ascii="Minion Pro"/>
          <w:b/>
          <w:sz w:val="20"/>
        </w:rPr>
        <w:t>Notes/Comments:</w:t>
      </w:r>
    </w:p>
    <w:p w14:paraId="4F6D0C5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57E9F6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380AC" w14:textId="77777777" w:rsidR="0076250E" w:rsidRDefault="0076250E">
      <w:r>
        <w:separator/>
      </w:r>
    </w:p>
  </w:endnote>
  <w:endnote w:type="continuationSeparator" w:id="0">
    <w:p w14:paraId="2BE3C7D9" w14:textId="77777777" w:rsidR="0076250E" w:rsidRDefault="0076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A3B2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38B7413" wp14:editId="27F0E2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ED59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350E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B741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105ED59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350E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F2B7485" wp14:editId="2121F50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83F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79BE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B748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27B83F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79BE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EC0BCF2" wp14:editId="331D4F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A37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9904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0BCF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0EDA37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9904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C24E0" w14:textId="77777777" w:rsidR="0076250E" w:rsidRDefault="0076250E">
      <w:r>
        <w:separator/>
      </w:r>
    </w:p>
  </w:footnote>
  <w:footnote w:type="continuationSeparator" w:id="0">
    <w:p w14:paraId="57AB7C39" w14:textId="77777777" w:rsidR="0076250E" w:rsidRDefault="0076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82B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7AE3CF4" wp14:editId="12650D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B105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AE3CF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067B105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9B525BE" wp14:editId="4575CE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3CC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5C2A6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525B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D83CC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5C2A6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0305"/>
    <w:rsid w:val="00094D9D"/>
    <w:rsid w:val="000A7E2F"/>
    <w:rsid w:val="000C2997"/>
    <w:rsid w:val="000E2911"/>
    <w:rsid w:val="001263DF"/>
    <w:rsid w:val="0014392C"/>
    <w:rsid w:val="001D2160"/>
    <w:rsid w:val="001D28DB"/>
    <w:rsid w:val="001E763C"/>
    <w:rsid w:val="00253F74"/>
    <w:rsid w:val="00253FD8"/>
    <w:rsid w:val="00292ED9"/>
    <w:rsid w:val="002B4130"/>
    <w:rsid w:val="002C46E9"/>
    <w:rsid w:val="00314AFB"/>
    <w:rsid w:val="00336F10"/>
    <w:rsid w:val="00343EAA"/>
    <w:rsid w:val="00381CF6"/>
    <w:rsid w:val="003B76D9"/>
    <w:rsid w:val="003C7151"/>
    <w:rsid w:val="00401B61"/>
    <w:rsid w:val="00404DB5"/>
    <w:rsid w:val="00404E5B"/>
    <w:rsid w:val="00414F7B"/>
    <w:rsid w:val="004355DC"/>
    <w:rsid w:val="004749B4"/>
    <w:rsid w:val="004908E1"/>
    <w:rsid w:val="00494130"/>
    <w:rsid w:val="004F3523"/>
    <w:rsid w:val="00511DEF"/>
    <w:rsid w:val="005973B9"/>
    <w:rsid w:val="005B3A56"/>
    <w:rsid w:val="005E6B52"/>
    <w:rsid w:val="006060CE"/>
    <w:rsid w:val="006107A2"/>
    <w:rsid w:val="0063497F"/>
    <w:rsid w:val="00714F9E"/>
    <w:rsid w:val="0076250E"/>
    <w:rsid w:val="0078738A"/>
    <w:rsid w:val="007A4778"/>
    <w:rsid w:val="00873DF0"/>
    <w:rsid w:val="008756E6"/>
    <w:rsid w:val="008A26BC"/>
    <w:rsid w:val="009B2D44"/>
    <w:rsid w:val="00A07E82"/>
    <w:rsid w:val="00A40362"/>
    <w:rsid w:val="00A44584"/>
    <w:rsid w:val="00A9710C"/>
    <w:rsid w:val="00AE3E37"/>
    <w:rsid w:val="00B21A57"/>
    <w:rsid w:val="00BF6AF1"/>
    <w:rsid w:val="00C33602"/>
    <w:rsid w:val="00C431FE"/>
    <w:rsid w:val="00CB6D5A"/>
    <w:rsid w:val="00CD2F4C"/>
    <w:rsid w:val="00CD6F55"/>
    <w:rsid w:val="00D62425"/>
    <w:rsid w:val="00D86EAA"/>
    <w:rsid w:val="00DE3104"/>
    <w:rsid w:val="00DF4179"/>
    <w:rsid w:val="00E0597A"/>
    <w:rsid w:val="00EC794B"/>
    <w:rsid w:val="00EF180F"/>
    <w:rsid w:val="00F42F2D"/>
    <w:rsid w:val="00F550E8"/>
    <w:rsid w:val="00F72EEA"/>
    <w:rsid w:val="00F8136A"/>
    <w:rsid w:val="00F84CAE"/>
    <w:rsid w:val="00FC67D8"/>
    <w:rsid w:val="00FF548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BB2FD"/>
  <w15:docId w15:val="{3E74B201-154D-5942-B279-E2922401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F4179"/>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53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3122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3384994">
      <w:bodyDiv w:val="1"/>
      <w:marLeft w:val="0"/>
      <w:marRight w:val="0"/>
      <w:marTop w:val="0"/>
      <w:marBottom w:val="0"/>
      <w:divBdr>
        <w:top w:val="none" w:sz="0" w:space="0" w:color="auto"/>
        <w:left w:val="none" w:sz="0" w:space="0" w:color="auto"/>
        <w:bottom w:val="none" w:sz="0" w:space="0" w:color="auto"/>
        <w:right w:val="none" w:sz="0" w:space="0" w:color="auto"/>
      </w:divBdr>
    </w:div>
    <w:div w:id="1054701473">
      <w:bodyDiv w:val="1"/>
      <w:marLeft w:val="0"/>
      <w:marRight w:val="0"/>
      <w:marTop w:val="0"/>
      <w:marBottom w:val="0"/>
      <w:divBdr>
        <w:top w:val="none" w:sz="0" w:space="0" w:color="auto"/>
        <w:left w:val="none" w:sz="0" w:space="0" w:color="auto"/>
        <w:bottom w:val="none" w:sz="0" w:space="0" w:color="auto"/>
        <w:right w:val="none" w:sz="0" w:space="0" w:color="auto"/>
      </w:divBdr>
    </w:div>
    <w:div w:id="11601966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9750602">
      <w:bodyDiv w:val="1"/>
      <w:marLeft w:val="0"/>
      <w:marRight w:val="0"/>
      <w:marTop w:val="0"/>
      <w:marBottom w:val="0"/>
      <w:divBdr>
        <w:top w:val="none" w:sz="0" w:space="0" w:color="auto"/>
        <w:left w:val="none" w:sz="0" w:space="0" w:color="auto"/>
        <w:bottom w:val="none" w:sz="0" w:space="0" w:color="auto"/>
        <w:right w:val="none" w:sz="0" w:space="0" w:color="auto"/>
      </w:divBdr>
    </w:div>
    <w:div w:id="1774544874">
      <w:bodyDiv w:val="1"/>
      <w:marLeft w:val="0"/>
      <w:marRight w:val="0"/>
      <w:marTop w:val="0"/>
      <w:marBottom w:val="0"/>
      <w:divBdr>
        <w:top w:val="none" w:sz="0" w:space="0" w:color="auto"/>
        <w:left w:val="none" w:sz="0" w:space="0" w:color="auto"/>
        <w:bottom w:val="none" w:sz="0" w:space="0" w:color="auto"/>
        <w:right w:val="none" w:sz="0" w:space="0" w:color="auto"/>
      </w:divBdr>
    </w:div>
    <w:div w:id="1917276394">
      <w:bodyDiv w:val="1"/>
      <w:marLeft w:val="0"/>
      <w:marRight w:val="0"/>
      <w:marTop w:val="0"/>
      <w:marBottom w:val="0"/>
      <w:divBdr>
        <w:top w:val="none" w:sz="0" w:space="0" w:color="auto"/>
        <w:left w:val="none" w:sz="0" w:space="0" w:color="auto"/>
        <w:bottom w:val="none" w:sz="0" w:space="0" w:color="auto"/>
        <w:right w:val="none" w:sz="0" w:space="0" w:color="auto"/>
      </w:divBdr>
    </w:div>
    <w:div w:id="2106000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jasser666@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sarah.aljasser@gmail.com</cp:lastModifiedBy>
  <cp:revision>31</cp:revision>
  <dcterms:created xsi:type="dcterms:W3CDTF">2016-08-31T13:10:00Z</dcterms:created>
  <dcterms:modified xsi:type="dcterms:W3CDTF">2019-04-12T19:54:00Z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