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35C9" w:rsidRPr="006D649D" w:rsidRDefault="00B735C9" w:rsidP="00B735C9">
      <w:pPr>
        <w:jc w:val="both"/>
        <w:rPr>
          <w:rFonts w:ascii="Times New Roman" w:hAnsi="Times New Roman" w:cs="Times New Roman"/>
          <w:b/>
          <w:sz w:val="24"/>
        </w:rPr>
      </w:pPr>
      <w:r w:rsidRPr="006D649D">
        <w:rPr>
          <w:rFonts w:ascii="Times New Roman" w:hAnsi="Times New Roman" w:cs="Times New Roman"/>
          <w:b/>
          <w:sz w:val="24"/>
        </w:rPr>
        <w:t xml:space="preserve">OCTREOTIDE CONJUGATED DUAL LOADED NANOPARTICLES OF TOPOTECAN AND THYMOQUINONE FOR TARGETING BREAST CANCER: FORMULATION, CHARACTERIZATION AND </w:t>
      </w:r>
      <w:r w:rsidRPr="006D649D">
        <w:rPr>
          <w:rFonts w:ascii="Times New Roman" w:hAnsi="Times New Roman" w:cs="Times New Roman"/>
          <w:b/>
          <w:i/>
          <w:sz w:val="24"/>
        </w:rPr>
        <w:t>IN VIVO</w:t>
      </w:r>
      <w:r w:rsidRPr="006D649D">
        <w:rPr>
          <w:rFonts w:ascii="Times New Roman" w:hAnsi="Times New Roman" w:cs="Times New Roman"/>
          <w:b/>
          <w:sz w:val="24"/>
        </w:rPr>
        <w:t xml:space="preserve"> CYTOTOXICITY ASSESSMENT</w:t>
      </w:r>
    </w:p>
    <w:p w:rsidR="00B735C9" w:rsidRDefault="00B735C9" w:rsidP="00B735C9">
      <w:pPr>
        <w:rPr>
          <w:rFonts w:ascii="Times New Roman" w:hAnsi="Times New Roman" w:cs="Times New Roman"/>
          <w:sz w:val="24"/>
          <w:vertAlign w:val="superscript"/>
        </w:rPr>
      </w:pPr>
      <w:r w:rsidRPr="00214540">
        <w:rPr>
          <w:rFonts w:ascii="Times New Roman" w:hAnsi="Times New Roman" w:cs="Times New Roman"/>
          <w:b/>
          <w:sz w:val="24"/>
          <w:u w:val="single"/>
        </w:rPr>
        <w:t>Devina Verma</w:t>
      </w:r>
      <w:r w:rsidRPr="00214540">
        <w:rPr>
          <w:rFonts w:ascii="Times New Roman" w:hAnsi="Times New Roman" w:cs="Times New Roman"/>
          <w:b/>
          <w:sz w:val="24"/>
          <w:u w:val="single"/>
          <w:vertAlign w:val="superscript"/>
        </w:rPr>
        <w:t>1</w:t>
      </w:r>
      <w:r w:rsidRPr="00A65B81">
        <w:rPr>
          <w:rFonts w:ascii="Times New Roman" w:hAnsi="Times New Roman" w:cs="Times New Roman"/>
          <w:b/>
          <w:sz w:val="24"/>
        </w:rPr>
        <w:t>,</w:t>
      </w:r>
      <w:r w:rsidRPr="00A65B81">
        <w:rPr>
          <w:rFonts w:ascii="Times New Roman" w:hAnsi="Times New Roman" w:cs="Times New Roman"/>
          <w:sz w:val="24"/>
        </w:rPr>
        <w:t xml:space="preserve"> </w:t>
      </w:r>
      <w:proofErr w:type="spellStart"/>
      <w:r w:rsidRPr="00A65B81">
        <w:rPr>
          <w:rFonts w:ascii="Times New Roman" w:hAnsi="Times New Roman" w:cs="Times New Roman"/>
          <w:sz w:val="24"/>
        </w:rPr>
        <w:t>Zeenat</w:t>
      </w:r>
      <w:proofErr w:type="spellEnd"/>
      <w:r w:rsidRPr="00A65B81">
        <w:rPr>
          <w:rFonts w:ascii="Times New Roman" w:hAnsi="Times New Roman" w:cs="Times New Roman"/>
          <w:sz w:val="24"/>
        </w:rPr>
        <w:t xml:space="preserve"> Iqbal</w:t>
      </w:r>
      <w:r w:rsidR="00AD643D">
        <w:rPr>
          <w:rFonts w:ascii="Times New Roman" w:hAnsi="Times New Roman" w:cs="Times New Roman"/>
          <w:sz w:val="24"/>
          <w:vertAlign w:val="superscript"/>
        </w:rPr>
        <w:t>2</w:t>
      </w:r>
    </w:p>
    <w:p w:rsidR="00AD643D" w:rsidRPr="00A65B81" w:rsidRDefault="00AD643D" w:rsidP="00B735C9">
      <w:pPr>
        <w:rPr>
          <w:rFonts w:ascii="Times New Roman" w:hAnsi="Times New Roman" w:cs="Times New Roman"/>
          <w:sz w:val="24"/>
        </w:rPr>
      </w:pPr>
    </w:p>
    <w:p w:rsidR="00AD643D" w:rsidRPr="00AD643D" w:rsidRDefault="00435234" w:rsidP="00047BDF">
      <w:pPr>
        <w:jc w:val="both"/>
        <w:rPr>
          <w:rFonts w:ascii="Times New Roman" w:hAnsi="Times New Roman" w:cs="Times New Roman"/>
          <w:sz w:val="24"/>
          <w:szCs w:val="24"/>
        </w:rPr>
      </w:pPr>
      <w:r>
        <w:rPr>
          <w:rFonts w:ascii="Times New Roman" w:hAnsi="Times New Roman" w:cs="Times New Roman"/>
          <w:i/>
          <w:iCs/>
          <w:sz w:val="24"/>
          <w:vertAlign w:val="superscript"/>
        </w:rPr>
        <w:t xml:space="preserve"> </w:t>
      </w:r>
      <w:r w:rsidR="00047BDF" w:rsidRPr="00A71117">
        <w:rPr>
          <w:rFonts w:ascii="Times New Roman" w:hAnsi="Times New Roman" w:cs="Times New Roman"/>
          <w:sz w:val="24"/>
          <w:szCs w:val="24"/>
          <w:vertAlign w:val="superscript"/>
        </w:rPr>
        <w:t>1</w:t>
      </w:r>
      <w:r w:rsidR="00AD643D">
        <w:rPr>
          <w:rFonts w:ascii="Times New Roman" w:hAnsi="Times New Roman" w:cs="Times New Roman"/>
          <w:sz w:val="24"/>
          <w:szCs w:val="24"/>
        </w:rPr>
        <w:t>Tech-observer, 1391/34A Nangal Raya, New Delhi-46</w:t>
      </w:r>
    </w:p>
    <w:p w:rsidR="0028059F" w:rsidRPr="00AD643D" w:rsidRDefault="00AD643D" w:rsidP="00AD643D">
      <w:pPr>
        <w:jc w:val="both"/>
        <w:rPr>
          <w:rFonts w:ascii="Times New Roman" w:hAnsi="Times New Roman" w:cs="Times New Roman"/>
          <w:sz w:val="24"/>
          <w:szCs w:val="24"/>
        </w:rPr>
      </w:pPr>
      <w:r>
        <w:rPr>
          <w:rFonts w:ascii="Times New Roman" w:hAnsi="Times New Roman" w:cs="Times New Roman"/>
          <w:sz w:val="24"/>
          <w:szCs w:val="24"/>
          <w:vertAlign w:val="superscript"/>
        </w:rPr>
        <w:t>2</w:t>
      </w:r>
      <w:r w:rsidR="00047BDF" w:rsidRPr="00A71117">
        <w:rPr>
          <w:rFonts w:ascii="Times New Roman" w:hAnsi="Times New Roman" w:cs="Times New Roman"/>
          <w:sz w:val="24"/>
          <w:szCs w:val="24"/>
        </w:rPr>
        <w:t xml:space="preserve">Nanomedicine Lab, Department of Pharmaceutics, </w:t>
      </w:r>
      <w:r w:rsidR="0045375D">
        <w:rPr>
          <w:rFonts w:ascii="Times New Roman" w:hAnsi="Times New Roman" w:cs="Times New Roman"/>
          <w:sz w:val="24"/>
          <w:szCs w:val="24"/>
        </w:rPr>
        <w:t>School of Pharmaceutical Education and Research</w:t>
      </w:r>
      <w:r w:rsidR="00047BDF" w:rsidRPr="00A71117">
        <w:rPr>
          <w:rFonts w:ascii="Times New Roman" w:hAnsi="Times New Roman" w:cs="Times New Roman"/>
          <w:sz w:val="24"/>
          <w:szCs w:val="24"/>
        </w:rPr>
        <w:t xml:space="preserve">, Jamia </w:t>
      </w:r>
      <w:proofErr w:type="spellStart"/>
      <w:r w:rsidR="00047BDF" w:rsidRPr="00A71117">
        <w:rPr>
          <w:rFonts w:ascii="Times New Roman" w:hAnsi="Times New Roman" w:cs="Times New Roman"/>
          <w:sz w:val="24"/>
          <w:szCs w:val="24"/>
        </w:rPr>
        <w:t>Hamdard</w:t>
      </w:r>
      <w:proofErr w:type="spellEnd"/>
      <w:r w:rsidR="00047BDF" w:rsidRPr="00A71117">
        <w:rPr>
          <w:rFonts w:ascii="Times New Roman" w:hAnsi="Times New Roman" w:cs="Times New Roman"/>
          <w:sz w:val="24"/>
          <w:szCs w:val="24"/>
        </w:rPr>
        <w:t>, New Delhi-62</w:t>
      </w:r>
      <w:bookmarkStart w:id="0" w:name="_GoBack"/>
      <w:bookmarkEnd w:id="0"/>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 xml:space="preserve">Abstract </w:t>
      </w:r>
    </w:p>
    <w:p w:rsidR="00DF04E3" w:rsidRDefault="00DF04E3" w:rsidP="00DF04E3">
      <w:pPr>
        <w:pStyle w:val="HTMLPreformatted"/>
        <w:tabs>
          <w:tab w:val="left" w:pos="4374"/>
        </w:tabs>
        <w:jc w:val="both"/>
        <w:rPr>
          <w:rFonts w:ascii="Times New Roman" w:hAnsi="Times New Roman" w:cs="Times New Roman"/>
          <w:sz w:val="24"/>
        </w:rPr>
      </w:pPr>
    </w:p>
    <w:p w:rsidR="00047BDF" w:rsidRDefault="00047BDF" w:rsidP="00047BDF">
      <w:pPr>
        <w:jc w:val="both"/>
        <w:rPr>
          <w:rFonts w:ascii="Times New Roman" w:hAnsi="Times New Roman" w:cs="Times New Roman"/>
          <w:sz w:val="24"/>
          <w:szCs w:val="24"/>
        </w:rPr>
      </w:pPr>
      <w:r w:rsidRPr="00B0585E">
        <w:rPr>
          <w:rFonts w:ascii="Times New Roman" w:hAnsi="Times New Roman" w:cs="Times New Roman"/>
          <w:sz w:val="24"/>
          <w:szCs w:val="24"/>
        </w:rPr>
        <w:t xml:space="preserve">Effective cancer therapy by an anticancer drug relies on </w:t>
      </w:r>
      <w:proofErr w:type="spellStart"/>
      <w:r w:rsidRPr="00B0585E">
        <w:rPr>
          <w:rFonts w:ascii="Times New Roman" w:hAnsi="Times New Roman" w:cs="Times New Roman"/>
          <w:sz w:val="24"/>
          <w:szCs w:val="24"/>
        </w:rPr>
        <w:t>it’s</w:t>
      </w:r>
      <w:proofErr w:type="spellEnd"/>
      <w:r w:rsidRPr="00B0585E">
        <w:rPr>
          <w:rFonts w:ascii="Times New Roman" w:hAnsi="Times New Roman" w:cs="Times New Roman"/>
          <w:sz w:val="24"/>
          <w:szCs w:val="24"/>
        </w:rPr>
        <w:t xml:space="preserve"> ability to reach the diseased site in its most active form and target multiple cancer hallmarks. However, the insufficiency of the classical anticancer drugs to target multiple pathways of cancer progression and the inability of the conventional delivery systems to carry the payload to the </w:t>
      </w:r>
      <w:proofErr w:type="spellStart"/>
      <w:r w:rsidRPr="00B0585E">
        <w:rPr>
          <w:rFonts w:ascii="Times New Roman" w:hAnsi="Times New Roman" w:cs="Times New Roman"/>
          <w:sz w:val="24"/>
          <w:szCs w:val="24"/>
        </w:rPr>
        <w:t>tumor</w:t>
      </w:r>
      <w:proofErr w:type="spellEnd"/>
      <w:r w:rsidRPr="00B0585E">
        <w:rPr>
          <w:rFonts w:ascii="Times New Roman" w:hAnsi="Times New Roman" w:cs="Times New Roman"/>
          <w:sz w:val="24"/>
          <w:szCs w:val="24"/>
        </w:rPr>
        <w:t xml:space="preserve"> site results in severe side effects and sub-optimal outcome necessitating the exploration of traditional medicine and measures to improve targeted delivery to treat this highly complex disease. The current study aims at utilizing octreotide as the targeting ligand for decorating the PLGA nanoparticle system incorporating a natural bioactive thymoquinone with a well-established anticancer drug, topotecan, to target the somatostatin receptors overexpressed in breast cancer. Topotecan and thymoquinone loaded nanoparticles (TP-TY NPs) were formulated by double emulsion solvent evaporation and </w:t>
      </w:r>
      <w:r>
        <w:rPr>
          <w:rFonts w:ascii="Times New Roman" w:hAnsi="Times New Roman" w:cs="Times New Roman"/>
          <w:sz w:val="24"/>
          <w:szCs w:val="24"/>
        </w:rPr>
        <w:t>decorated</w:t>
      </w:r>
      <w:r w:rsidRPr="00B0585E">
        <w:rPr>
          <w:rFonts w:ascii="Times New Roman" w:hAnsi="Times New Roman" w:cs="Times New Roman"/>
          <w:sz w:val="24"/>
          <w:szCs w:val="24"/>
        </w:rPr>
        <w:t xml:space="preserve"> with octreotide by carbodiimide chemical conjugation. The optimized particles were the characterized in terms of particle size, zeta potential, reconstitution time, entrapment and loading efficiency. The optimized </w:t>
      </w:r>
      <w:r>
        <w:rPr>
          <w:rFonts w:ascii="Times New Roman" w:hAnsi="Times New Roman" w:cs="Times New Roman"/>
          <w:sz w:val="24"/>
          <w:szCs w:val="24"/>
        </w:rPr>
        <w:t>particles were then evaluated by</w:t>
      </w:r>
      <w:r w:rsidRPr="00B0585E">
        <w:rPr>
          <w:rFonts w:ascii="Times New Roman" w:hAnsi="Times New Roman" w:cs="Times New Roman"/>
          <w:sz w:val="24"/>
          <w:szCs w:val="24"/>
        </w:rPr>
        <w:t xml:space="preserve"> ex-vivo cytotoxicit</w:t>
      </w:r>
      <w:r>
        <w:rPr>
          <w:rFonts w:ascii="Times New Roman" w:hAnsi="Times New Roman" w:cs="Times New Roman"/>
          <w:sz w:val="24"/>
          <w:szCs w:val="24"/>
        </w:rPr>
        <w:t xml:space="preserve">y analysis in MCF-7, followed by </w:t>
      </w:r>
      <w:r w:rsidRPr="006D649D">
        <w:rPr>
          <w:rFonts w:ascii="Times New Roman" w:hAnsi="Times New Roman" w:cs="Times New Roman"/>
          <w:i/>
          <w:sz w:val="24"/>
          <w:szCs w:val="24"/>
        </w:rPr>
        <w:t>in vivo</w:t>
      </w:r>
      <w:r>
        <w:rPr>
          <w:rFonts w:ascii="Times New Roman" w:hAnsi="Times New Roman" w:cs="Times New Roman"/>
          <w:sz w:val="24"/>
          <w:szCs w:val="24"/>
        </w:rPr>
        <w:t xml:space="preserve"> analysis in</w:t>
      </w:r>
      <w:r w:rsidRPr="00B0585E">
        <w:rPr>
          <w:rFonts w:ascii="Times New Roman" w:hAnsi="Times New Roman" w:cs="Times New Roman"/>
          <w:sz w:val="24"/>
          <w:szCs w:val="24"/>
        </w:rPr>
        <w:t xml:space="preserve"> Ehrlich ascites </w:t>
      </w:r>
      <w:proofErr w:type="spellStart"/>
      <w:r w:rsidRPr="00B0585E">
        <w:rPr>
          <w:rFonts w:ascii="Times New Roman" w:hAnsi="Times New Roman" w:cs="Times New Roman"/>
          <w:sz w:val="24"/>
          <w:szCs w:val="24"/>
        </w:rPr>
        <w:t>tumor</w:t>
      </w:r>
      <w:proofErr w:type="spellEnd"/>
      <w:r w:rsidRPr="00B0585E">
        <w:rPr>
          <w:rFonts w:ascii="Times New Roman" w:hAnsi="Times New Roman" w:cs="Times New Roman"/>
          <w:sz w:val="24"/>
          <w:szCs w:val="24"/>
        </w:rPr>
        <w:t xml:space="preserve"> model. The optimized </w:t>
      </w:r>
      <w:r>
        <w:rPr>
          <w:rFonts w:ascii="Times New Roman" w:hAnsi="Times New Roman" w:cs="Times New Roman"/>
          <w:sz w:val="24"/>
          <w:szCs w:val="24"/>
        </w:rPr>
        <w:t xml:space="preserve">Oct-TP-TY NPs </w:t>
      </w:r>
      <w:r w:rsidRPr="00B0585E">
        <w:rPr>
          <w:rFonts w:ascii="Times New Roman" w:hAnsi="Times New Roman" w:cs="Times New Roman"/>
          <w:sz w:val="24"/>
          <w:szCs w:val="24"/>
        </w:rPr>
        <w:t xml:space="preserve">had a particles size and polydispersity index of </w:t>
      </w:r>
      <w:r w:rsidRPr="00B0585E">
        <w:rPr>
          <w:rFonts w:ascii="Times New Roman" w:hAnsi="Times New Roman" w:cs="Times New Roman"/>
          <w:bCs/>
          <w:sz w:val="24"/>
          <w:szCs w:val="24"/>
          <w:shd w:val="clear" w:color="auto" w:fill="FFFFFF"/>
        </w:rPr>
        <w:t xml:space="preserve">245.7±3.5 and </w:t>
      </w:r>
      <w:r w:rsidRPr="00B0585E">
        <w:rPr>
          <w:rFonts w:ascii="Times New Roman" w:hAnsi="Times New Roman" w:cs="Times New Roman"/>
          <w:bCs/>
          <w:sz w:val="24"/>
          <w:szCs w:val="24"/>
          <w:shd w:val="clear" w:color="auto" w:fill="FFFFFF"/>
          <w:lang w:val="en-US"/>
        </w:rPr>
        <w:t xml:space="preserve">0.204± 0.18 respectively, zeta potential of -1.08mV </w:t>
      </w:r>
      <w:r w:rsidRPr="00B0585E">
        <w:rPr>
          <w:rFonts w:ascii="Times New Roman" w:hAnsi="Times New Roman" w:cs="Times New Roman"/>
          <w:sz w:val="24"/>
          <w:szCs w:val="24"/>
        </w:rPr>
        <w:t xml:space="preserve">and reconstituted in less than 15 seconds. % loading and entrapment efficiency was 37±1.2 and 2.8±0.65 respectively for topotecan and 62.2±1.2 and 6.2±0.5 respectively for thymoquinone. The </w:t>
      </w:r>
      <w:r>
        <w:rPr>
          <w:rFonts w:ascii="Times New Roman" w:hAnsi="Times New Roman" w:cs="Times New Roman"/>
          <w:sz w:val="24"/>
          <w:szCs w:val="24"/>
        </w:rPr>
        <w:t>decorated</w:t>
      </w:r>
      <w:r w:rsidRPr="00B0585E">
        <w:rPr>
          <w:rFonts w:ascii="Times New Roman" w:hAnsi="Times New Roman" w:cs="Times New Roman"/>
          <w:sz w:val="24"/>
          <w:szCs w:val="24"/>
        </w:rPr>
        <w:t xml:space="preserve"> particles showed a significantly lower IC 50 (1.9</w:t>
      </w:r>
      <w:r w:rsidRPr="00B0585E">
        <w:rPr>
          <w:rFonts w:ascii="Times New Roman" w:hAnsi="Times New Roman" w:cs="Times New Roman"/>
          <w:sz w:val="24"/>
          <w:szCs w:val="24"/>
          <w:lang w:val="en-US"/>
        </w:rPr>
        <w:t>±0.4ug/ml</w:t>
      </w:r>
      <w:r w:rsidRPr="00B0585E">
        <w:rPr>
          <w:rFonts w:ascii="Times New Roman" w:hAnsi="Times New Roman" w:cs="Times New Roman"/>
          <w:sz w:val="24"/>
          <w:szCs w:val="24"/>
        </w:rPr>
        <w:t>) as compared to its un</w:t>
      </w:r>
      <w:r>
        <w:rPr>
          <w:rFonts w:ascii="Times New Roman" w:hAnsi="Times New Roman" w:cs="Times New Roman"/>
          <w:sz w:val="24"/>
          <w:szCs w:val="24"/>
        </w:rPr>
        <w:t>decorated</w:t>
      </w:r>
      <w:r w:rsidRPr="00B0585E">
        <w:rPr>
          <w:rFonts w:ascii="Times New Roman" w:hAnsi="Times New Roman" w:cs="Times New Roman"/>
          <w:sz w:val="24"/>
          <w:szCs w:val="24"/>
        </w:rPr>
        <w:t xml:space="preserve"> counterpart (</w:t>
      </w:r>
      <w:r w:rsidRPr="00B0585E">
        <w:rPr>
          <w:rFonts w:ascii="Times New Roman" w:hAnsi="Times New Roman" w:cs="Times New Roman"/>
          <w:sz w:val="24"/>
          <w:szCs w:val="24"/>
          <w:lang w:val="en-US"/>
        </w:rPr>
        <w:t>3.5±1.5ug/ml</w:t>
      </w:r>
      <w:r w:rsidRPr="00B0585E">
        <w:rPr>
          <w:rFonts w:ascii="Times New Roman" w:hAnsi="Times New Roman" w:cs="Times New Roman"/>
          <w:sz w:val="24"/>
          <w:szCs w:val="24"/>
        </w:rPr>
        <w:t xml:space="preserve">) or free drug solution (16.1±1.8ug/ml). This was further supported by higher cellular uptake of the former. Finally, Oct-TP-TY NPs resulted in marked </w:t>
      </w:r>
      <w:proofErr w:type="spellStart"/>
      <w:r w:rsidRPr="00B0585E">
        <w:rPr>
          <w:rFonts w:ascii="Times New Roman" w:hAnsi="Times New Roman" w:cs="Times New Roman"/>
          <w:sz w:val="24"/>
          <w:szCs w:val="24"/>
        </w:rPr>
        <w:t>tumor</w:t>
      </w:r>
      <w:proofErr w:type="spellEnd"/>
      <w:r w:rsidRPr="00B0585E">
        <w:rPr>
          <w:rFonts w:ascii="Times New Roman" w:hAnsi="Times New Roman" w:cs="Times New Roman"/>
          <w:sz w:val="24"/>
          <w:szCs w:val="24"/>
        </w:rPr>
        <w:t xml:space="preserve"> regression as compared to TP-TY NPs and free drug solution with no or minimal detrimental effect on the haematological profile. In conclusion, the biological evaluation generated proof of evidence in support of the combination of a synthetic and a natural bioactive in an octreotide decorated nanoparticle system for targeted breast cancer therapy. </w:t>
      </w:r>
      <w:r w:rsidRPr="00B0585E">
        <w:rPr>
          <w:rFonts w:ascii="Times New Roman" w:hAnsi="Times New Roman" w:cs="Times New Roman"/>
          <w:sz w:val="24"/>
          <w:szCs w:val="24"/>
        </w:rPr>
        <w:tab/>
      </w:r>
    </w:p>
    <w:p w:rsidR="00047BDF" w:rsidRDefault="00047BDF" w:rsidP="00047BDF">
      <w:pPr>
        <w:jc w:val="both"/>
        <w:rPr>
          <w:rFonts w:ascii="Times New Roman" w:hAnsi="Times New Roman" w:cs="Times New Roman"/>
          <w:sz w:val="24"/>
          <w:szCs w:val="24"/>
        </w:rPr>
      </w:pPr>
    </w:p>
    <w:p w:rsidR="00DF04E3" w:rsidRDefault="00047BDF" w:rsidP="00047BDF">
      <w:pPr>
        <w:pStyle w:val="HTMLPreformatted"/>
        <w:jc w:val="both"/>
        <w:rPr>
          <w:rFonts w:ascii="Times New Roman" w:hAnsi="Times New Roman" w:cs="Times New Roman"/>
          <w:sz w:val="24"/>
        </w:rPr>
      </w:pPr>
      <w:r>
        <w:rPr>
          <w:rFonts w:ascii="Times New Roman" w:hAnsi="Times New Roman" w:cs="Times New Roman"/>
          <w:sz w:val="24"/>
          <w:szCs w:val="24"/>
        </w:rPr>
        <w:t>Keywords:  nanoparticles, combination therapy, targeting, breast cancer, drug delivery</w:t>
      </w: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B735C9" w:rsidRDefault="00B735C9" w:rsidP="00DF04E3">
      <w:pPr>
        <w:pStyle w:val="HTMLPreformatted"/>
        <w:jc w:val="both"/>
        <w:rPr>
          <w:rFonts w:ascii="Times New Roman" w:hAnsi="Times New Roman" w:cs="Times New Roman"/>
          <w:b/>
          <w:iCs/>
          <w:sz w:val="24"/>
        </w:rPr>
      </w:pPr>
    </w:p>
    <w:p w:rsidR="00B3082B" w:rsidRDefault="00B735C9" w:rsidP="00DF04E3">
      <w:pPr>
        <w:pStyle w:val="HTMLPreformatted"/>
        <w:jc w:val="both"/>
        <w:rPr>
          <w:rFonts w:ascii="Times New Roman" w:hAnsi="Times New Roman" w:cs="Times New Roman"/>
          <w:iCs/>
          <w:sz w:val="24"/>
        </w:rPr>
      </w:pPr>
      <w:proofErr w:type="spellStart"/>
      <w:r w:rsidRPr="00B735C9">
        <w:rPr>
          <w:rFonts w:ascii="Times New Roman" w:hAnsi="Times New Roman" w:cs="Times New Roman"/>
          <w:iCs/>
          <w:sz w:val="24"/>
        </w:rPr>
        <w:t>Dr.</w:t>
      </w:r>
      <w:proofErr w:type="spellEnd"/>
      <w:r w:rsidRPr="00B735C9">
        <w:rPr>
          <w:rFonts w:ascii="Times New Roman" w:hAnsi="Times New Roman" w:cs="Times New Roman"/>
          <w:iCs/>
          <w:sz w:val="24"/>
        </w:rPr>
        <w:t xml:space="preserve"> Devina Kakar is a Regulatory </w:t>
      </w:r>
      <w:r w:rsidR="00047BDF">
        <w:rPr>
          <w:rFonts w:ascii="Times New Roman" w:hAnsi="Times New Roman" w:cs="Times New Roman"/>
          <w:iCs/>
          <w:sz w:val="24"/>
        </w:rPr>
        <w:t xml:space="preserve">and Medical Affairs </w:t>
      </w:r>
      <w:r w:rsidRPr="00B735C9">
        <w:rPr>
          <w:rFonts w:ascii="Times New Roman" w:hAnsi="Times New Roman" w:cs="Times New Roman"/>
          <w:iCs/>
          <w:sz w:val="24"/>
        </w:rPr>
        <w:t xml:space="preserve">specialist in </w:t>
      </w:r>
      <w:r w:rsidR="00047BDF">
        <w:rPr>
          <w:rFonts w:ascii="Times New Roman" w:hAnsi="Times New Roman" w:cs="Times New Roman"/>
          <w:iCs/>
          <w:sz w:val="24"/>
        </w:rPr>
        <w:t>Tech Observer, Delhi,</w:t>
      </w:r>
      <w:r w:rsidRPr="00B735C9">
        <w:rPr>
          <w:rFonts w:ascii="Times New Roman" w:hAnsi="Times New Roman" w:cs="Times New Roman"/>
          <w:iCs/>
          <w:sz w:val="24"/>
        </w:rPr>
        <w:t xml:space="preserve"> India</w:t>
      </w:r>
      <w:r w:rsidR="0045375D">
        <w:rPr>
          <w:rFonts w:ascii="Times New Roman" w:hAnsi="Times New Roman" w:cs="Times New Roman"/>
          <w:iCs/>
          <w:sz w:val="24"/>
        </w:rPr>
        <w:t>. At present, she is</w:t>
      </w:r>
      <w:r w:rsidR="00047BDF">
        <w:rPr>
          <w:rFonts w:ascii="Times New Roman" w:hAnsi="Times New Roman" w:cs="Times New Roman"/>
          <w:iCs/>
          <w:sz w:val="24"/>
        </w:rPr>
        <w:t xml:space="preserve"> working as</w:t>
      </w:r>
      <w:r w:rsidR="0045375D">
        <w:rPr>
          <w:rFonts w:ascii="Times New Roman" w:hAnsi="Times New Roman" w:cs="Times New Roman"/>
          <w:iCs/>
          <w:sz w:val="24"/>
        </w:rPr>
        <w:t xml:space="preserve"> a Project M</w:t>
      </w:r>
      <w:r w:rsidR="00047BDF">
        <w:rPr>
          <w:rFonts w:ascii="Times New Roman" w:hAnsi="Times New Roman" w:cs="Times New Roman"/>
          <w:iCs/>
          <w:sz w:val="24"/>
        </w:rPr>
        <w:t>anager a</w:t>
      </w:r>
      <w:r w:rsidR="0045375D">
        <w:rPr>
          <w:rFonts w:ascii="Times New Roman" w:hAnsi="Times New Roman" w:cs="Times New Roman"/>
          <w:iCs/>
          <w:sz w:val="24"/>
        </w:rPr>
        <w:t>nd Medical A</w:t>
      </w:r>
      <w:r w:rsidR="00047BDF">
        <w:rPr>
          <w:rFonts w:ascii="Times New Roman" w:hAnsi="Times New Roman" w:cs="Times New Roman"/>
          <w:iCs/>
          <w:sz w:val="24"/>
        </w:rPr>
        <w:t>ffairs scientist for an upcoming project in GSK Consumer Health, Gurgaon, India</w:t>
      </w:r>
      <w:r w:rsidR="0045375D">
        <w:rPr>
          <w:rFonts w:ascii="Times New Roman" w:hAnsi="Times New Roman" w:cs="Times New Roman"/>
          <w:iCs/>
          <w:sz w:val="24"/>
        </w:rPr>
        <w:t xml:space="preserve"> and has been acknowledged for leading the same</w:t>
      </w:r>
      <w:r w:rsidR="00047BDF">
        <w:rPr>
          <w:rFonts w:ascii="Times New Roman" w:hAnsi="Times New Roman" w:cs="Times New Roman"/>
          <w:iCs/>
          <w:sz w:val="24"/>
        </w:rPr>
        <w:t xml:space="preserve">. </w:t>
      </w:r>
      <w:r w:rsidRPr="00B735C9">
        <w:rPr>
          <w:rFonts w:ascii="Times New Roman" w:hAnsi="Times New Roman" w:cs="Times New Roman"/>
          <w:iCs/>
          <w:sz w:val="24"/>
        </w:rPr>
        <w:t xml:space="preserve">She did her M. Pharm in Quality Assurance and Ph.D. in Pharmaceutics from Jamia </w:t>
      </w:r>
      <w:proofErr w:type="spellStart"/>
      <w:r w:rsidRPr="00B735C9">
        <w:rPr>
          <w:rFonts w:ascii="Times New Roman" w:hAnsi="Times New Roman" w:cs="Times New Roman"/>
          <w:iCs/>
          <w:sz w:val="24"/>
        </w:rPr>
        <w:t>Hamdard</w:t>
      </w:r>
      <w:proofErr w:type="spellEnd"/>
      <w:r w:rsidRPr="00B735C9">
        <w:rPr>
          <w:rFonts w:ascii="Times New Roman" w:hAnsi="Times New Roman" w:cs="Times New Roman"/>
          <w:iCs/>
          <w:sz w:val="24"/>
        </w:rPr>
        <w:t xml:space="preserve">, New Delhi, India, and was awarded with the AICTE and Senior Research Fellowship from ICMR during her </w:t>
      </w:r>
      <w:r w:rsidR="00047BDF">
        <w:rPr>
          <w:rFonts w:ascii="Times New Roman" w:hAnsi="Times New Roman" w:cs="Times New Roman"/>
          <w:iCs/>
          <w:sz w:val="24"/>
        </w:rPr>
        <w:t>post-</w:t>
      </w:r>
      <w:r>
        <w:rPr>
          <w:rFonts w:ascii="Times New Roman" w:hAnsi="Times New Roman" w:cs="Times New Roman"/>
          <w:iCs/>
          <w:sz w:val="24"/>
        </w:rPr>
        <w:t>graduation</w:t>
      </w:r>
      <w:r w:rsidRPr="00B735C9">
        <w:rPr>
          <w:rFonts w:ascii="Times New Roman" w:hAnsi="Times New Roman" w:cs="Times New Roman"/>
          <w:iCs/>
          <w:sz w:val="24"/>
        </w:rPr>
        <w:t xml:space="preserve"> and Ph.D. respectively. Having worked for about 7 years in academic research in the domain of cancer nanomedicine, she has several articles to her credit</w:t>
      </w:r>
      <w:r w:rsidR="00047BDF">
        <w:rPr>
          <w:rFonts w:ascii="Times New Roman" w:hAnsi="Times New Roman" w:cs="Times New Roman"/>
          <w:iCs/>
          <w:sz w:val="24"/>
        </w:rPr>
        <w:t xml:space="preserve">. </w:t>
      </w:r>
      <w:r w:rsidRPr="00B735C9">
        <w:rPr>
          <w:rFonts w:ascii="Times New Roman" w:hAnsi="Times New Roman" w:cs="Times New Roman"/>
          <w:iCs/>
          <w:sz w:val="24"/>
        </w:rPr>
        <w:t>Taking forward her keen interest in medical writing, she is</w:t>
      </w:r>
      <w:r w:rsidR="0045375D">
        <w:rPr>
          <w:rFonts w:ascii="Times New Roman" w:hAnsi="Times New Roman" w:cs="Times New Roman"/>
          <w:iCs/>
          <w:sz w:val="24"/>
        </w:rPr>
        <w:t xml:space="preserve"> actively involved in several projects on</w:t>
      </w:r>
      <w:r w:rsidRPr="00B735C9">
        <w:rPr>
          <w:rFonts w:ascii="Times New Roman" w:hAnsi="Times New Roman" w:cs="Times New Roman"/>
          <w:iCs/>
          <w:sz w:val="24"/>
        </w:rPr>
        <w:t xml:space="preserve"> regulat</w:t>
      </w:r>
      <w:r w:rsidR="0045375D">
        <w:rPr>
          <w:rFonts w:ascii="Times New Roman" w:hAnsi="Times New Roman" w:cs="Times New Roman"/>
          <w:iCs/>
          <w:sz w:val="24"/>
        </w:rPr>
        <w:t>ory as well as medical affairs</w:t>
      </w:r>
      <w:r w:rsidRPr="00B735C9">
        <w:rPr>
          <w:rFonts w:ascii="Times New Roman" w:hAnsi="Times New Roman" w:cs="Times New Roman"/>
          <w:b/>
          <w:iCs/>
          <w:sz w:val="24"/>
        </w:rPr>
        <w:t>.</w:t>
      </w:r>
    </w:p>
    <w:p w:rsidR="00B3082B" w:rsidRDefault="00B3082B" w:rsidP="00DF04E3">
      <w:pPr>
        <w:pStyle w:val="HTMLPreformatted"/>
        <w:jc w:val="both"/>
        <w:rPr>
          <w:rFonts w:ascii="Times New Roman" w:hAnsi="Times New Roman" w:cs="Times New Roman"/>
          <w:iCs/>
          <w:sz w:val="24"/>
        </w:rPr>
      </w:pPr>
    </w:p>
    <w:p w:rsidR="00B3082B" w:rsidRDefault="00B735C9" w:rsidP="00DF04E3">
      <w:pPr>
        <w:pStyle w:val="HTMLPreformatted"/>
        <w:jc w:val="both"/>
        <w:rPr>
          <w:rFonts w:ascii="Times New Roman" w:hAnsi="Times New Roman" w:cs="Times New Roman"/>
          <w:iCs/>
          <w:sz w:val="24"/>
        </w:rPr>
      </w:pPr>
      <w:r w:rsidRPr="00B735C9">
        <w:rPr>
          <w:noProof/>
          <w:lang w:val="en-IN" w:eastAsia="en-IN"/>
        </w:rPr>
        <w:drawing>
          <wp:inline distT="0" distB="0" distL="0" distR="0">
            <wp:extent cx="2428875" cy="2019300"/>
            <wp:effectExtent l="0" t="0" r="9525" b="0"/>
            <wp:docPr id="1" name="Picture 1" descr="C:\Users\dk880732\Desktop\Downloads\20181210_1111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k880732\Desktop\Downloads\20181210_11110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429016" cy="2019417"/>
                    </a:xfrm>
                    <a:prstGeom prst="rect">
                      <a:avLst/>
                    </a:prstGeom>
                    <a:noFill/>
                    <a:ln>
                      <a:noFill/>
                    </a:ln>
                  </pic:spPr>
                </pic:pic>
              </a:graphicData>
            </a:graphic>
          </wp:inline>
        </w:drawing>
      </w:r>
      <w:r w:rsidR="00B3082B">
        <w:rPr>
          <w:rFonts w:ascii="Times New Roman" w:hAnsi="Times New Roman" w:cs="Times New Roman"/>
          <w:b/>
          <w:iCs/>
          <w:sz w:val="24"/>
        </w:rPr>
        <w:br/>
      </w:r>
    </w:p>
    <w:p w:rsidR="00B735C9" w:rsidRDefault="00B735C9" w:rsidP="00B735C9">
      <w:pPr>
        <w:pStyle w:val="HTMLPreformatted"/>
        <w:rPr>
          <w:rFonts w:ascii="Times New Roman" w:hAnsi="Times New Roman" w:cs="Times New Roman"/>
          <w:iCs/>
          <w:sz w:val="24"/>
        </w:rPr>
      </w:pPr>
    </w:p>
    <w:p w:rsidR="00B3082B" w:rsidRPr="00DF04E3" w:rsidRDefault="00B3082B" w:rsidP="00B735C9">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hyperlink r:id="rId7" w:history="1">
        <w:r w:rsidR="0045375D" w:rsidRPr="005D7CC1">
          <w:rPr>
            <w:rStyle w:val="Hyperlink"/>
            <w:rFonts w:ascii="Times New Roman" w:hAnsi="Times New Roman" w:cs="Times New Roman"/>
            <w:iCs/>
            <w:sz w:val="24"/>
          </w:rPr>
          <w:t>devinaverma12@gmail.com</w:t>
        </w:r>
      </w:hyperlink>
      <w:r w:rsidR="0045375D">
        <w:rPr>
          <w:rFonts w:ascii="Times New Roman" w:hAnsi="Times New Roman" w:cs="Times New Roman"/>
          <w:iCs/>
          <w:sz w:val="24"/>
        </w:rPr>
        <w:t xml:space="preserve">; </w:t>
      </w:r>
      <w:hyperlink r:id="rId8" w:history="1">
        <w:r w:rsidR="0045375D" w:rsidRPr="005D7CC1">
          <w:rPr>
            <w:rStyle w:val="Hyperlink"/>
            <w:rFonts w:ascii="Times New Roman" w:hAnsi="Times New Roman" w:cs="Times New Roman"/>
            <w:iCs/>
            <w:sz w:val="24"/>
          </w:rPr>
          <w:t>devina.x.kakar@gsk.com</w:t>
        </w:r>
      </w:hyperlink>
      <w:r w:rsidR="00AD643D">
        <w:rPr>
          <w:rFonts w:ascii="Times New Roman" w:hAnsi="Times New Roman" w:cs="Times New Roman"/>
          <w:iCs/>
          <w:sz w:val="24"/>
        </w:rPr>
        <w:t xml:space="preserve">; </w:t>
      </w:r>
      <w:hyperlink r:id="rId9" w:history="1">
        <w:r w:rsidR="00AD643D" w:rsidRPr="005D7CC1">
          <w:rPr>
            <w:rStyle w:val="Hyperlink"/>
            <w:rFonts w:ascii="Times New Roman" w:hAnsi="Times New Roman" w:cs="Times New Roman"/>
            <w:iCs/>
            <w:sz w:val="24"/>
          </w:rPr>
          <w:t>devina.kakar@tech-observer.com</w:t>
        </w:r>
      </w:hyperlink>
      <w:r w:rsidR="00AD643D">
        <w:rPr>
          <w:rFonts w:ascii="Times New Roman" w:hAnsi="Times New Roman" w:cs="Times New Roman"/>
          <w:iCs/>
          <w:sz w:val="24"/>
        </w:rPr>
        <w:t xml:space="preserve"> </w:t>
      </w:r>
    </w:p>
    <w:p w:rsidR="00DF04E3" w:rsidRDefault="00DF04E3" w:rsidP="00495C76">
      <w:pPr>
        <w:jc w:val="center"/>
        <w:rPr>
          <w:rFonts w:ascii="Times New Roman" w:hAnsi="Times New Roman" w:cs="Times New Roman"/>
          <w:b/>
          <w:sz w:val="24"/>
          <w:szCs w:val="24"/>
        </w:rPr>
      </w:pPr>
    </w:p>
    <w:p w:rsidR="00DF04E3" w:rsidRPr="00495C76" w:rsidRDefault="00DF04E3" w:rsidP="002350BC">
      <w:pPr>
        <w:rPr>
          <w:rFonts w:ascii="Times New Roman" w:hAnsi="Times New Roman" w:cs="Times New Roman"/>
          <w:b/>
          <w:sz w:val="24"/>
          <w:szCs w:val="24"/>
        </w:rPr>
      </w:pPr>
    </w:p>
    <w:sectPr w:rsidR="00DF04E3" w:rsidRPr="00495C76">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F5368" w:rsidRDefault="003F5368" w:rsidP="00495C76">
      <w:pPr>
        <w:spacing w:after="0" w:line="240" w:lineRule="auto"/>
      </w:pPr>
      <w:r>
        <w:separator/>
      </w:r>
    </w:p>
  </w:endnote>
  <w:endnote w:type="continuationSeparator" w:id="0">
    <w:p w:rsidR="003F5368" w:rsidRDefault="003F5368"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F5368" w:rsidRDefault="003F5368" w:rsidP="00495C76">
      <w:pPr>
        <w:spacing w:after="0" w:line="240" w:lineRule="auto"/>
      </w:pPr>
      <w:r>
        <w:separator/>
      </w:r>
    </w:p>
  </w:footnote>
  <w:footnote w:type="continuationSeparator" w:id="0">
    <w:p w:rsidR="003F5368" w:rsidRDefault="003F5368"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Header"/>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5C76"/>
    <w:rsid w:val="00047BDF"/>
    <w:rsid w:val="000552F9"/>
    <w:rsid w:val="00077C15"/>
    <w:rsid w:val="000A4C22"/>
    <w:rsid w:val="002350BC"/>
    <w:rsid w:val="0028059F"/>
    <w:rsid w:val="00280833"/>
    <w:rsid w:val="002F4DF0"/>
    <w:rsid w:val="00333E31"/>
    <w:rsid w:val="0038483D"/>
    <w:rsid w:val="003F5368"/>
    <w:rsid w:val="00435234"/>
    <w:rsid w:val="0045375D"/>
    <w:rsid w:val="00495C76"/>
    <w:rsid w:val="00627419"/>
    <w:rsid w:val="00A40544"/>
    <w:rsid w:val="00AD643D"/>
    <w:rsid w:val="00B3082B"/>
    <w:rsid w:val="00B6703B"/>
    <w:rsid w:val="00B735C9"/>
    <w:rsid w:val="00BA654F"/>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5E0CC0"/>
  <w15:docId w15:val="{BB74B448-38EF-4501-8A16-154522C3D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047BDF"/>
    <w:rPr>
      <w:color w:val="0000FF" w:themeColor="hyperlink"/>
      <w:u w:val="single"/>
    </w:rPr>
  </w:style>
  <w:style w:type="character" w:styleId="UnresolvedMention">
    <w:name w:val="Unresolved Mention"/>
    <w:basedOn w:val="DefaultParagraphFont"/>
    <w:uiPriority w:val="99"/>
    <w:semiHidden/>
    <w:unhideWhenUsed/>
    <w:rsid w:val="0045375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vina.x.kakar@gsk.com" TargetMode="External"/><Relationship Id="rId3" Type="http://schemas.openxmlformats.org/officeDocument/2006/relationships/webSettings" Target="webSettings.xml"/><Relationship Id="rId7" Type="http://schemas.openxmlformats.org/officeDocument/2006/relationships/hyperlink" Target="mailto:devinaverma12@gmail.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mailto:devina.kakar@tech-observe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2</Pages>
  <Words>571</Words>
  <Characters>3261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Devina Kakar</cp:lastModifiedBy>
  <cp:revision>13</cp:revision>
  <dcterms:created xsi:type="dcterms:W3CDTF">2017-03-28T12:12:00Z</dcterms:created>
  <dcterms:modified xsi:type="dcterms:W3CDTF">2019-08-23T05:48:00Z</dcterms:modified>
</cp:coreProperties>
</file>